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DB2" w:rsidRDefault="00F37ECF">
      <w:pPr>
        <w:spacing w:before="300"/>
        <w:jc w:val="center"/>
      </w:pPr>
      <w:r>
        <w:t>СУДНА,</w:t>
      </w:r>
      <w:r w:rsidR="005C74B7">
        <w:t xml:space="preserve"> </w:t>
      </w:r>
    </w:p>
    <w:p w:rsidR="00E96DB2" w:rsidRDefault="00F37ECF">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4A0" w:firstRow="1" w:lastRow="0" w:firstColumn="1" w:lastColumn="0" w:noHBand="0" w:noVBand="1"/>
      </w:tblPr>
      <w:tblGrid>
        <w:gridCol w:w="410"/>
        <w:gridCol w:w="3764"/>
        <w:gridCol w:w="9443"/>
        <w:gridCol w:w="1641"/>
      </w:tblGrid>
      <w:tr w:rsidR="00E96DB2" w:rsidTr="00FB57BE">
        <w:trPr>
          <w:tblHeader/>
          <w:jc w:val="center"/>
        </w:trPr>
        <w:tc>
          <w:tcPr>
            <w:tcW w:w="0" w:type="auto"/>
            <w:tcBorders>
              <w:top w:val="single" w:sz="4" w:space="0" w:color="auto"/>
              <w:bottom w:val="single" w:sz="4" w:space="0" w:color="auto"/>
              <w:right w:val="single" w:sz="4" w:space="0" w:color="auto"/>
            </w:tcBorders>
            <w:vAlign w:val="center"/>
          </w:tcPr>
          <w:p w:rsidR="00E96DB2" w:rsidRDefault="00F37ECF">
            <w:pPr>
              <w:jc w:val="center"/>
            </w:pPr>
            <w:r>
              <w:t>№</w:t>
            </w:r>
          </w:p>
          <w:p w:rsidR="00E96DB2" w:rsidRDefault="00F37ECF">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E96DB2" w:rsidRDefault="00F37ECF">
            <w:pPr>
              <w:jc w:val="center"/>
            </w:pPr>
            <w:r>
              <w:t>Ідентифікаційні дані</w:t>
            </w:r>
          </w:p>
          <w:p w:rsidR="00E96DB2" w:rsidRDefault="00F37ECF">
            <w:pPr>
              <w:jc w:val="center"/>
            </w:pPr>
            <w:r>
              <w:t>(повне найменування та реквізити суден)</w:t>
            </w:r>
          </w:p>
        </w:tc>
        <w:tc>
          <w:tcPr>
            <w:tcW w:w="0" w:type="auto"/>
            <w:tcBorders>
              <w:top w:val="single" w:sz="4" w:space="0" w:color="auto"/>
              <w:left w:val="single" w:sz="4" w:space="0" w:color="auto"/>
              <w:bottom w:val="single" w:sz="4" w:space="0" w:color="auto"/>
              <w:right w:val="single" w:sz="4" w:space="0" w:color="auto"/>
            </w:tcBorders>
            <w:vAlign w:val="center"/>
          </w:tcPr>
          <w:p w:rsidR="00E96DB2" w:rsidRDefault="00F37ECF">
            <w:pPr>
              <w:jc w:val="center"/>
            </w:pPr>
            <w:r>
              <w:t>Вид обмежувального заходу</w:t>
            </w:r>
          </w:p>
          <w:p w:rsidR="00E96DB2" w:rsidRDefault="00F37ECF">
            <w:pPr>
              <w:jc w:val="center"/>
            </w:pPr>
            <w:r>
              <w:t>(відповідно до Закону України "Про санкції")</w:t>
            </w:r>
          </w:p>
        </w:tc>
        <w:tc>
          <w:tcPr>
            <w:tcW w:w="0" w:type="auto"/>
            <w:tcBorders>
              <w:top w:val="single" w:sz="4" w:space="0" w:color="auto"/>
              <w:left w:val="single" w:sz="4" w:space="0" w:color="auto"/>
              <w:bottom w:val="single" w:sz="4" w:space="0" w:color="auto"/>
            </w:tcBorders>
            <w:vAlign w:val="center"/>
          </w:tcPr>
          <w:p w:rsidR="00E96DB2" w:rsidRDefault="00F37ECF">
            <w:pPr>
              <w:jc w:val="center"/>
            </w:pPr>
            <w:r>
              <w:t>Строк застосування</w:t>
            </w:r>
          </w:p>
        </w:tc>
      </w:tr>
      <w:tr w:rsidR="00E96DB2" w:rsidTr="00FB57BE">
        <w:trPr>
          <w:jc w:val="center"/>
        </w:trPr>
        <w:tc>
          <w:tcPr>
            <w:tcW w:w="0" w:type="auto"/>
            <w:tcBorders>
              <w:top w:val="single" w:sz="4" w:space="0" w:color="auto"/>
            </w:tcBorders>
          </w:tcPr>
          <w:p w:rsidR="00E96DB2" w:rsidRDefault="00F37ECF" w:rsidP="002B7211">
            <w:pPr>
              <w:spacing w:before="120"/>
            </w:pPr>
            <w:r>
              <w:t>1.</w:t>
            </w:r>
          </w:p>
        </w:tc>
        <w:tc>
          <w:tcPr>
            <w:tcW w:w="0" w:type="auto"/>
            <w:tcBorders>
              <w:top w:val="single" w:sz="4" w:space="0" w:color="auto"/>
            </w:tcBorders>
          </w:tcPr>
          <w:p w:rsidR="00E96DB2" w:rsidRDefault="00F37ECF" w:rsidP="002B7211">
            <w:pPr>
              <w:spacing w:before="120"/>
            </w:pPr>
            <w:r>
              <w:t>Назва судна: MEDROSE.</w:t>
            </w:r>
          </w:p>
          <w:p w:rsidR="00E96DB2" w:rsidRDefault="00F37ECF">
            <w:r>
              <w:t>Судно з ідентифікаційним номером Міжнародної морської організації (IMO): 9630743.</w:t>
            </w:r>
          </w:p>
          <w:p w:rsidR="00E96DB2" w:rsidRDefault="00F37ECF">
            <w:r>
              <w:t>Ідентифікатори Морської рухомої служби (MMSI): 538007633.</w:t>
            </w:r>
          </w:p>
          <w:p w:rsidR="00E96DB2" w:rsidRDefault="00F37ECF">
            <w:r>
              <w:t>Національна належність судна: Республіка Маршаллові Острови.</w:t>
            </w:r>
          </w:p>
          <w:p w:rsidR="00E96DB2" w:rsidRDefault="00F37ECF">
            <w:r>
              <w:t>Позивні сигнали судна: V7YC2.</w:t>
            </w:r>
          </w:p>
          <w:p w:rsidR="00E96DB2" w:rsidRDefault="00F37ECF">
            <w:r>
              <w:t>Найменування судновласників: ARUNA MARINE LTD.</w:t>
            </w:r>
          </w:p>
        </w:tc>
        <w:tc>
          <w:tcPr>
            <w:tcW w:w="0" w:type="auto"/>
            <w:tcBorders>
              <w:top w:val="single" w:sz="4" w:space="0" w:color="auto"/>
            </w:tcBorders>
          </w:tcPr>
          <w:p w:rsidR="00E96DB2" w:rsidRDefault="00F37ECF" w:rsidP="002B7211">
            <w:pPr>
              <w:spacing w:before="120"/>
            </w:pPr>
            <w:r>
              <w:t xml:space="preserve">1) блокування </w:t>
            </w:r>
            <w:r w:rsidR="00887288">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w:t>
            </w:r>
            <w:bookmarkStart w:id="0" w:name="_GoBack"/>
            <w:bookmarkEnd w:id="0"/>
            <w:r>
              <w:t xml:space="preserve">рядження ними; </w:t>
            </w:r>
          </w:p>
          <w:p w:rsidR="00E96DB2" w:rsidRDefault="00F37ECF">
            <w:r>
              <w:t xml:space="preserve">2) обмеження торговельних операцій (повне припинення); </w:t>
            </w:r>
          </w:p>
          <w:p w:rsidR="00E96DB2" w:rsidRDefault="00F37ECF">
            <w:r>
              <w:t xml:space="preserve">3) обмеження, часткове чи повне припинення транзиту ресурсів, польотів та перевезень територією України (повне припинення); </w:t>
            </w:r>
          </w:p>
          <w:p w:rsidR="00E96DB2" w:rsidRDefault="00F37ECF">
            <w:r>
              <w:t xml:space="preserve">4) зупинення виконання економічних та фінансових </w:t>
            </w:r>
            <w:r w:rsidR="00887288">
              <w:t>зобов'язань</w:t>
            </w:r>
            <w:r>
              <w:t xml:space="preserve">; </w:t>
            </w:r>
          </w:p>
          <w:p w:rsidR="00E96DB2" w:rsidRDefault="00F37ECF">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E96DB2" w:rsidRDefault="00F37ECF">
            <w:r>
              <w:t xml:space="preserve">6) заборона користування радіочастотним спектром України; </w:t>
            </w:r>
          </w:p>
          <w:p w:rsidR="00E96DB2" w:rsidRDefault="00F37ECF">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E96DB2" w:rsidRDefault="00F37ECF">
            <w:r>
              <w:t>8) запровадження додаткових заходів у сфері екологічного, санітарного, фітосанітарного та ветеринарного контролю.</w:t>
            </w:r>
          </w:p>
          <w:p w:rsidR="002B7211" w:rsidRDefault="002B7211"/>
        </w:tc>
        <w:tc>
          <w:tcPr>
            <w:tcW w:w="0" w:type="auto"/>
            <w:tcBorders>
              <w:top w:val="single" w:sz="4" w:space="0" w:color="auto"/>
            </w:tcBorders>
          </w:tcPr>
          <w:p w:rsidR="00E96DB2" w:rsidRDefault="00F37ECF" w:rsidP="002B7211">
            <w:pPr>
              <w:spacing w:before="120"/>
            </w:pPr>
            <w:r>
              <w:t>десять років</w:t>
            </w:r>
          </w:p>
        </w:tc>
      </w:tr>
      <w:tr w:rsidR="00E96DB2" w:rsidTr="00FB57BE">
        <w:trPr>
          <w:jc w:val="center"/>
        </w:trPr>
        <w:tc>
          <w:tcPr>
            <w:tcW w:w="0" w:type="auto"/>
          </w:tcPr>
          <w:p w:rsidR="00E96DB2" w:rsidRDefault="00F37ECF">
            <w:r>
              <w:lastRenderedPageBreak/>
              <w:t>2.</w:t>
            </w:r>
          </w:p>
        </w:tc>
        <w:tc>
          <w:tcPr>
            <w:tcW w:w="0" w:type="auto"/>
          </w:tcPr>
          <w:p w:rsidR="00E96DB2" w:rsidRDefault="00F37ECF">
            <w:r>
              <w:t>Назва судна: OCEAN LORRY.</w:t>
            </w:r>
          </w:p>
          <w:p w:rsidR="00E96DB2" w:rsidRDefault="00F37ECF">
            <w:r>
              <w:t>Судно з ідентифікаційним номером Міжнародної морської організації (IMO): 9649706.</w:t>
            </w:r>
          </w:p>
          <w:p w:rsidR="00E96DB2" w:rsidRDefault="00F37ECF">
            <w:r>
              <w:t>Ідентифікатори Морської рухомої служби (MMSI): 636022924.</w:t>
            </w:r>
          </w:p>
          <w:p w:rsidR="00E96DB2" w:rsidRDefault="00F37ECF">
            <w:r>
              <w:t>Національна належність судна: Республіка Ліберія.</w:t>
            </w:r>
          </w:p>
          <w:p w:rsidR="00E96DB2" w:rsidRDefault="00F37ECF">
            <w:r>
              <w:t>Позивні сигнали судна: 5LLC2.</w:t>
            </w:r>
          </w:p>
          <w:p w:rsidR="00E96DB2" w:rsidRDefault="00F37ECF">
            <w:r>
              <w:t>Найменування судновласників: ARUNA NAVIGATION LTD.</w:t>
            </w:r>
          </w:p>
        </w:tc>
        <w:tc>
          <w:tcPr>
            <w:tcW w:w="0" w:type="auto"/>
          </w:tcPr>
          <w:p w:rsidR="00E96DB2" w:rsidRDefault="00F37ECF">
            <w:r>
              <w:t xml:space="preserve">1) блокування </w:t>
            </w:r>
            <w:r w:rsidR="00887288">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E96DB2" w:rsidRDefault="00F37ECF">
            <w:r>
              <w:t xml:space="preserve">2) обмеження торговельних операцій (повне припинення); </w:t>
            </w:r>
          </w:p>
          <w:p w:rsidR="00E96DB2" w:rsidRDefault="00F37ECF">
            <w:r>
              <w:t xml:space="preserve">3) обмеження, часткове чи повне припинення транзиту ресурсів, польотів та перевезень територією України (повне припинення); </w:t>
            </w:r>
          </w:p>
          <w:p w:rsidR="00E96DB2" w:rsidRDefault="00F37ECF">
            <w:r>
              <w:t>4) зупинення виконання економічних та фінансових зобов</w:t>
            </w:r>
            <w:r w:rsidR="00887288">
              <w:t>'</w:t>
            </w:r>
            <w:r>
              <w:t xml:space="preserve">язань; </w:t>
            </w:r>
          </w:p>
          <w:p w:rsidR="00E96DB2" w:rsidRDefault="00F37ECF">
            <w:r>
              <w:t xml:space="preserve">5)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E96DB2" w:rsidRDefault="00F37ECF">
            <w:r>
              <w:t xml:space="preserve">6) заборона користування радіочастотним спектром України; </w:t>
            </w:r>
          </w:p>
          <w:p w:rsidR="00E96DB2" w:rsidRDefault="00F37ECF">
            <w:r>
              <w:t xml:space="preserve">7)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E96DB2" w:rsidRDefault="00F37ECF">
            <w:r>
              <w:t>8) запровадження додаткових заходів у сфері екологічного, санітарного, фітосанітарного та ветеринарного контролю.</w:t>
            </w:r>
          </w:p>
        </w:tc>
        <w:tc>
          <w:tcPr>
            <w:tcW w:w="0" w:type="auto"/>
          </w:tcPr>
          <w:p w:rsidR="00E96DB2" w:rsidRDefault="00F37ECF">
            <w:r>
              <w:t>десять років</w:t>
            </w:r>
          </w:p>
        </w:tc>
      </w:tr>
    </w:tbl>
    <w:p w:rsidR="006A2DA5" w:rsidRDefault="006A2DA5"/>
    <w:p w:rsidR="00C27991" w:rsidRDefault="00C27991"/>
    <w:p w:rsidR="00C27991" w:rsidRDefault="00C27991" w:rsidP="00C27991">
      <w:pPr>
        <w:jc w:val="center"/>
      </w:pPr>
      <w:r>
        <w:t>___________________________________________________________</w:t>
      </w:r>
    </w:p>
    <w:sectPr w:rsidR="00C27991">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8AC" w:rsidRDefault="009628AC">
      <w:r>
        <w:separator/>
      </w:r>
    </w:p>
  </w:endnote>
  <w:endnote w:type="continuationSeparator" w:id="0">
    <w:p w:rsidR="009628AC" w:rsidRDefault="00962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8AC" w:rsidRDefault="009628AC">
      <w:r>
        <w:separator/>
      </w:r>
    </w:p>
  </w:footnote>
  <w:footnote w:type="continuationSeparator" w:id="0">
    <w:p w:rsidR="009628AC" w:rsidRDefault="00962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DB2" w:rsidRDefault="00F37ECF">
    <w:pPr>
      <w:jc w:val="center"/>
    </w:pPr>
    <w:r>
      <w:fldChar w:fldCharType="begin"/>
    </w:r>
    <w:r>
      <w:instrText>PAGE</w:instrText>
    </w:r>
    <w:r>
      <w:fldChar w:fldCharType="separate"/>
    </w:r>
    <w:r w:rsidR="004A16C5">
      <w:rPr>
        <w:noProof/>
      </w:rPr>
      <w:t>2</w:t>
    </w:r>
    <w:r>
      <w:fldChar w:fldCharType="end"/>
    </w:r>
  </w:p>
  <w:p w:rsidR="00E96DB2" w:rsidRDefault="00C27991">
    <w:pPr>
      <w:spacing w:after="240"/>
      <w:jc w:val="right"/>
    </w:pPr>
    <w:r>
      <w:t>Продовження додатка 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91" w:rsidRDefault="00C27991" w:rsidP="00C27991">
    <w:pPr>
      <w:ind w:left="11907"/>
    </w:pPr>
  </w:p>
  <w:p w:rsidR="00C27991" w:rsidRDefault="00C27991" w:rsidP="00C27991">
    <w:pPr>
      <w:ind w:left="11907"/>
    </w:pPr>
  </w:p>
  <w:p w:rsidR="00C27991" w:rsidRDefault="00C27991" w:rsidP="00C27991">
    <w:pPr>
      <w:ind w:left="8221"/>
      <w:jc w:val="center"/>
      <w:rPr>
        <w:lang w:val="ru-RU"/>
      </w:rPr>
    </w:pPr>
  </w:p>
  <w:p w:rsidR="00C27991" w:rsidRPr="009837B9" w:rsidRDefault="00C27991" w:rsidP="005C74B7">
    <w:pPr>
      <w:ind w:left="9072"/>
      <w:jc w:val="center"/>
      <w:rPr>
        <w:lang w:val="ru-RU"/>
      </w:rPr>
    </w:pPr>
    <w:r>
      <w:t>Додаток 3</w:t>
    </w:r>
  </w:p>
  <w:p w:rsidR="00E96DB2" w:rsidRDefault="00F60622" w:rsidP="005C74B7">
    <w:pPr>
      <w:ind w:left="9072"/>
      <w:jc w:val="center"/>
    </w:pPr>
    <w:r>
      <w:t>до</w:t>
    </w:r>
    <w:r w:rsidR="00C27991">
      <w:t xml:space="preserve"> рішення Ради національної безпеки і оборони України </w:t>
    </w:r>
    <w:r w:rsidR="006A3B32">
      <w:t xml:space="preserve">від </w:t>
    </w:r>
    <w:r w:rsidR="006A3B32">
      <w:rPr>
        <w:lang w:val="ru-RU"/>
      </w:rPr>
      <w:t>30 вересня 2026</w:t>
    </w:r>
    <w:r w:rsidR="006A3B32">
      <w:t xml:space="preserve"> року</w:t>
    </w:r>
    <w:r w:rsidR="00C27991">
      <w:t xml:space="preserve"> "Про застосування персональних спеціальних економічних та інших обмежувальних заходів (санкцій)"</w:t>
    </w:r>
    <w:r w:rsidR="00FB57BE">
      <w:t>, введеного в дію Указом Президента України</w:t>
    </w:r>
  </w:p>
  <w:p w:rsidR="00FB57BE" w:rsidRDefault="00B2073A" w:rsidP="00B2073A">
    <w:pPr>
      <w:ind w:left="9214"/>
      <w:jc w:val="center"/>
    </w:pPr>
    <w:r>
      <w:t>від 11 жовтня 2026 року № 1035/2026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7C7E8D"/>
    <w:multiLevelType w:val="hybridMultilevel"/>
    <w:tmpl w:val="8CCCDDF4"/>
    <w:lvl w:ilvl="0" w:tplc="62AE2990">
      <w:start w:val="1"/>
      <w:numFmt w:val="bullet"/>
      <w:lvlText w:val="●"/>
      <w:lvlJc w:val="left"/>
      <w:pPr>
        <w:ind w:left="720" w:hanging="360"/>
      </w:pPr>
    </w:lvl>
    <w:lvl w:ilvl="1" w:tplc="D52451A8">
      <w:start w:val="1"/>
      <w:numFmt w:val="bullet"/>
      <w:lvlText w:val="○"/>
      <w:lvlJc w:val="left"/>
      <w:pPr>
        <w:ind w:left="1440" w:hanging="360"/>
      </w:pPr>
    </w:lvl>
    <w:lvl w:ilvl="2" w:tplc="1B96D032">
      <w:start w:val="1"/>
      <w:numFmt w:val="bullet"/>
      <w:lvlText w:val="■"/>
      <w:lvlJc w:val="left"/>
      <w:pPr>
        <w:ind w:left="2160" w:hanging="360"/>
      </w:pPr>
    </w:lvl>
    <w:lvl w:ilvl="3" w:tplc="91E4493A">
      <w:start w:val="1"/>
      <w:numFmt w:val="bullet"/>
      <w:lvlText w:val="●"/>
      <w:lvlJc w:val="left"/>
      <w:pPr>
        <w:ind w:left="2880" w:hanging="360"/>
      </w:pPr>
    </w:lvl>
    <w:lvl w:ilvl="4" w:tplc="8BF6F982">
      <w:start w:val="1"/>
      <w:numFmt w:val="bullet"/>
      <w:lvlText w:val="○"/>
      <w:lvlJc w:val="left"/>
      <w:pPr>
        <w:ind w:left="3600" w:hanging="360"/>
      </w:pPr>
    </w:lvl>
    <w:lvl w:ilvl="5" w:tplc="A0AEC600">
      <w:start w:val="1"/>
      <w:numFmt w:val="bullet"/>
      <w:lvlText w:val="■"/>
      <w:lvlJc w:val="left"/>
      <w:pPr>
        <w:ind w:left="4320" w:hanging="360"/>
      </w:pPr>
    </w:lvl>
    <w:lvl w:ilvl="6" w:tplc="64989A78">
      <w:start w:val="1"/>
      <w:numFmt w:val="bullet"/>
      <w:lvlText w:val="●"/>
      <w:lvlJc w:val="left"/>
      <w:pPr>
        <w:ind w:left="5040" w:hanging="360"/>
      </w:pPr>
    </w:lvl>
    <w:lvl w:ilvl="7" w:tplc="96D627EC">
      <w:start w:val="1"/>
      <w:numFmt w:val="bullet"/>
      <w:lvlText w:val="●"/>
      <w:lvlJc w:val="left"/>
      <w:pPr>
        <w:ind w:left="5760" w:hanging="360"/>
      </w:pPr>
    </w:lvl>
    <w:lvl w:ilvl="8" w:tplc="105A8D1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E96DB2"/>
    <w:rsid w:val="002B7211"/>
    <w:rsid w:val="00310616"/>
    <w:rsid w:val="004A16C5"/>
    <w:rsid w:val="005C74B7"/>
    <w:rsid w:val="006A2DA5"/>
    <w:rsid w:val="006A3B32"/>
    <w:rsid w:val="00814E9F"/>
    <w:rsid w:val="00887288"/>
    <w:rsid w:val="00901701"/>
    <w:rsid w:val="009628AC"/>
    <w:rsid w:val="00B2073A"/>
    <w:rsid w:val="00C27991"/>
    <w:rsid w:val="00E96DB2"/>
    <w:rsid w:val="00F37ECF"/>
    <w:rsid w:val="00F60622"/>
    <w:rsid w:val="00FB57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C27991"/>
    <w:pPr>
      <w:tabs>
        <w:tab w:val="center" w:pos="4819"/>
        <w:tab w:val="right" w:pos="9639"/>
      </w:tabs>
    </w:pPr>
  </w:style>
  <w:style w:type="character" w:customStyle="1" w:styleId="aa">
    <w:name w:val="Верхній колонтитул Знак"/>
    <w:basedOn w:val="a0"/>
    <w:link w:val="a9"/>
    <w:uiPriority w:val="99"/>
    <w:rsid w:val="00C27991"/>
  </w:style>
  <w:style w:type="paragraph" w:styleId="ab">
    <w:name w:val="footer"/>
    <w:basedOn w:val="a"/>
    <w:link w:val="ac"/>
    <w:uiPriority w:val="99"/>
    <w:unhideWhenUsed/>
    <w:rsid w:val="00C27991"/>
    <w:pPr>
      <w:tabs>
        <w:tab w:val="center" w:pos="4819"/>
        <w:tab w:val="right" w:pos="9639"/>
      </w:tabs>
    </w:pPr>
  </w:style>
  <w:style w:type="character" w:customStyle="1" w:styleId="ac">
    <w:name w:val="Нижній колонтитул Знак"/>
    <w:basedOn w:val="a0"/>
    <w:link w:val="ab"/>
    <w:uiPriority w:val="99"/>
    <w:rsid w:val="00C27991"/>
  </w:style>
  <w:style w:type="paragraph" w:styleId="ad">
    <w:name w:val="Balloon Text"/>
    <w:basedOn w:val="a"/>
    <w:link w:val="ae"/>
    <w:uiPriority w:val="99"/>
    <w:semiHidden/>
    <w:unhideWhenUsed/>
    <w:rsid w:val="00B2073A"/>
    <w:rPr>
      <w:rFonts w:ascii="Segoe UI" w:hAnsi="Segoe UI" w:cs="Segoe UI"/>
      <w:sz w:val="18"/>
      <w:szCs w:val="18"/>
    </w:rPr>
  </w:style>
  <w:style w:type="character" w:customStyle="1" w:styleId="ae">
    <w:name w:val="Текст у виносці Знак"/>
    <w:basedOn w:val="a0"/>
    <w:link w:val="ad"/>
    <w:uiPriority w:val="99"/>
    <w:semiHidden/>
    <w:rsid w:val="00B207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166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2162</Words>
  <Characters>1233</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2026-09-30T10:08:00Z</dcterms:created>
  <dcterms:modified xsi:type="dcterms:W3CDTF">2026-10-11T14:45:00Z</dcterms:modified>
</cp:coreProperties>
</file>