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45A" w:rsidRDefault="002B1D3D">
      <w:pPr>
        <w:spacing w:before="300"/>
        <w:jc w:val="center"/>
      </w:pPr>
      <w:r>
        <w:t>ЮРИДИЧНІ ОСОБИ,</w:t>
      </w:r>
      <w:r w:rsidR="00B51E34">
        <w:t xml:space="preserve"> </w:t>
      </w:r>
    </w:p>
    <w:p w:rsidR="00D6145A" w:rsidRDefault="002B1D3D">
      <w:pPr>
        <w:spacing w:after="300"/>
        <w:jc w:val="center"/>
      </w:pPr>
      <w:r>
        <w:t>до яких застосовуються персональні спеціальні економічні та інші обмежувальні заходи (санкції)</w:t>
      </w:r>
    </w:p>
    <w:tbl>
      <w:tblPr>
        <w:tblW w:w="5090" w:type="pct"/>
        <w:jc w:val="center"/>
        <w:tblCellMar>
          <w:top w:w="60" w:type="dxa"/>
          <w:left w:w="60" w:type="dxa"/>
          <w:bottom w:w="60" w:type="dxa"/>
          <w:right w:w="60" w:type="dxa"/>
        </w:tblCellMar>
        <w:tblLook w:val="0000" w:firstRow="0" w:lastRow="0" w:firstColumn="0" w:lastColumn="0" w:noHBand="0" w:noVBand="0"/>
      </w:tblPr>
      <w:tblGrid>
        <w:gridCol w:w="410"/>
        <w:gridCol w:w="6013"/>
        <w:gridCol w:w="7332"/>
        <w:gridCol w:w="1648"/>
      </w:tblGrid>
      <w:tr w:rsidR="00D6145A" w:rsidTr="00B813F2">
        <w:trPr>
          <w:tblHeader/>
          <w:jc w:val="center"/>
        </w:trPr>
        <w:tc>
          <w:tcPr>
            <w:tcW w:w="0" w:type="auto"/>
            <w:tcBorders>
              <w:top w:val="single" w:sz="4" w:space="0" w:color="auto"/>
              <w:bottom w:val="single" w:sz="4" w:space="0" w:color="auto"/>
              <w:right w:val="single" w:sz="4" w:space="0" w:color="auto"/>
            </w:tcBorders>
            <w:vAlign w:val="center"/>
          </w:tcPr>
          <w:p w:rsidR="00D6145A" w:rsidRDefault="002B1D3D">
            <w:pPr>
              <w:jc w:val="center"/>
            </w:pPr>
            <w:r>
              <w:t>№</w:t>
            </w:r>
          </w:p>
          <w:p w:rsidR="00D6145A" w:rsidRDefault="002B1D3D">
            <w:pPr>
              <w:jc w:val="center"/>
            </w:pPr>
            <w:r>
              <w:t>з/п</w:t>
            </w:r>
          </w:p>
        </w:tc>
        <w:tc>
          <w:tcPr>
            <w:tcW w:w="1952" w:type="pct"/>
            <w:tcBorders>
              <w:top w:val="single" w:sz="4" w:space="0" w:color="auto"/>
              <w:left w:val="single" w:sz="4" w:space="0" w:color="auto"/>
              <w:bottom w:val="single" w:sz="4" w:space="0" w:color="auto"/>
              <w:right w:val="single" w:sz="4" w:space="0" w:color="auto"/>
            </w:tcBorders>
            <w:vAlign w:val="center"/>
          </w:tcPr>
          <w:p w:rsidR="00D6145A" w:rsidRDefault="002B1D3D">
            <w:pPr>
              <w:jc w:val="center"/>
            </w:pPr>
            <w:r>
              <w:t>Ідентифікаційні дані</w:t>
            </w:r>
          </w:p>
          <w:p w:rsidR="00D6145A" w:rsidRDefault="002B1D3D">
            <w:pPr>
              <w:jc w:val="center"/>
            </w:pPr>
            <w:r>
              <w:t>(повне найменування та реквізити юридичної особи)</w:t>
            </w:r>
          </w:p>
        </w:tc>
        <w:tc>
          <w:tcPr>
            <w:tcW w:w="2380" w:type="pct"/>
            <w:tcBorders>
              <w:top w:val="single" w:sz="4" w:space="0" w:color="auto"/>
              <w:left w:val="single" w:sz="4" w:space="0" w:color="auto"/>
              <w:bottom w:val="single" w:sz="4" w:space="0" w:color="auto"/>
              <w:right w:val="single" w:sz="4" w:space="0" w:color="auto"/>
            </w:tcBorders>
            <w:vAlign w:val="center"/>
          </w:tcPr>
          <w:p w:rsidR="00D6145A" w:rsidRDefault="002B1D3D">
            <w:pPr>
              <w:jc w:val="center"/>
            </w:pPr>
            <w:r>
              <w:t>Вид обмежувального заходу</w:t>
            </w:r>
          </w:p>
          <w:p w:rsidR="00D6145A" w:rsidRDefault="002B1D3D">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right w:val="single" w:sz="4" w:space="0" w:color="auto"/>
            </w:tcBorders>
            <w:vAlign w:val="center"/>
          </w:tcPr>
          <w:p w:rsidR="00D6145A" w:rsidRDefault="002B1D3D">
            <w:pPr>
              <w:jc w:val="center"/>
            </w:pPr>
            <w:r>
              <w:t>Строк застосування</w:t>
            </w:r>
          </w:p>
        </w:tc>
      </w:tr>
      <w:tr w:rsidR="00D6145A" w:rsidTr="00B813F2">
        <w:trPr>
          <w:jc w:val="center"/>
        </w:trPr>
        <w:tc>
          <w:tcPr>
            <w:tcW w:w="0" w:type="auto"/>
            <w:tcBorders>
              <w:top w:val="single" w:sz="4" w:space="0" w:color="auto"/>
            </w:tcBorders>
          </w:tcPr>
          <w:p w:rsidR="00D6145A" w:rsidRDefault="002B1D3D" w:rsidP="00B813F2">
            <w:pPr>
              <w:spacing w:before="120"/>
            </w:pPr>
            <w:r>
              <w:t>1.</w:t>
            </w:r>
          </w:p>
        </w:tc>
        <w:tc>
          <w:tcPr>
            <w:tcW w:w="1952" w:type="pct"/>
            <w:tcBorders>
              <w:top w:val="single" w:sz="4" w:space="0" w:color="auto"/>
            </w:tcBorders>
          </w:tcPr>
          <w:p w:rsidR="00D6145A" w:rsidRDefault="002B1D3D" w:rsidP="00B813F2">
            <w:pPr>
              <w:spacing w:before="120"/>
            </w:pPr>
            <w:r>
              <w:t>Товариство з обмеженою відповідальністю "</w:t>
            </w:r>
            <w:proofErr w:type="spellStart"/>
            <w:r>
              <w:t>Спєц</w:t>
            </w:r>
            <w:proofErr w:type="spellEnd"/>
            <w:r>
              <w:t xml:space="preserve"> Гідро Сервіс"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"Спец </w:t>
            </w:r>
            <w:proofErr w:type="spellStart"/>
            <w:r>
              <w:t>Гидро</w:t>
            </w:r>
            <w:proofErr w:type="spellEnd"/>
            <w:r>
              <w:t xml:space="preserve"> </w:t>
            </w:r>
            <w:proofErr w:type="spellStart"/>
            <w:r>
              <w:t>Сервис</w:t>
            </w:r>
            <w:proofErr w:type="spellEnd"/>
            <w:r>
              <w:t xml:space="preserve">", ООО "СГС",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Spets</w:t>
            </w:r>
            <w:proofErr w:type="spellEnd"/>
            <w:r>
              <w:t xml:space="preserve"> </w:t>
            </w:r>
            <w:proofErr w:type="spellStart"/>
            <w:r>
              <w:t>Gidro</w:t>
            </w:r>
            <w:proofErr w:type="spellEnd"/>
            <w:r>
              <w:t xml:space="preserve"> </w:t>
            </w:r>
            <w:proofErr w:type="spellStart"/>
            <w:r>
              <w:t>Service</w:t>
            </w:r>
            <w:proofErr w:type="spellEnd"/>
            <w:r>
              <w:t>", SGS LLC).</w:t>
            </w:r>
          </w:p>
          <w:p w:rsidR="00D6145A" w:rsidRDefault="002B1D3D">
            <w:r>
              <w:t>Країна реєстрації: Російська Федерація.</w:t>
            </w:r>
          </w:p>
          <w:p w:rsidR="00D6145A" w:rsidRDefault="002B1D3D">
            <w:r>
              <w:t>Відомості згідно з Єдиним державним реєстром юридичних осіб Російської Федерації</w:t>
            </w:r>
            <w:r w:rsidR="00F46E0A">
              <w:t xml:space="preserve">: </w:t>
            </w:r>
            <w:r>
              <w:t>основний</w:t>
            </w:r>
            <w:r w:rsidR="00F46E0A">
              <w:t xml:space="preserve"> державний реєстраційний номер –</w:t>
            </w:r>
            <w:r>
              <w:t xml:space="preserve"> 1167154065430.</w:t>
            </w:r>
          </w:p>
          <w:p w:rsidR="00D6145A" w:rsidRDefault="002B1D3D">
            <w:r>
              <w:t>Податковий номер Російської Федерації: 7116151940.</w:t>
            </w:r>
          </w:p>
          <w:p w:rsidR="00D6145A" w:rsidRDefault="002B1D3D" w:rsidP="00F46E0A">
            <w:r>
              <w:t>Місце розташування</w:t>
            </w:r>
            <w:r w:rsidR="00F46E0A">
              <w:t xml:space="preserve"> –</w:t>
            </w:r>
            <w:r>
              <w:t xml:space="preserve"> Російська Федерація, 301767, Тульська обл., Новомосковський р-н, м. Новомосковськ, шосе Комсомольське, буд. 4 (</w:t>
            </w:r>
            <w:proofErr w:type="spellStart"/>
            <w:r>
              <w:t>Российская</w:t>
            </w:r>
            <w:proofErr w:type="spellEnd"/>
            <w:r>
              <w:t xml:space="preserve"> </w:t>
            </w:r>
            <w:proofErr w:type="spellStart"/>
            <w:r>
              <w:t>Федерация</w:t>
            </w:r>
            <w:proofErr w:type="spellEnd"/>
            <w:r>
              <w:t xml:space="preserve">, 301767, </w:t>
            </w:r>
            <w:proofErr w:type="spellStart"/>
            <w:r>
              <w:t>Тульская</w:t>
            </w:r>
            <w:proofErr w:type="spellEnd"/>
            <w:r>
              <w:t xml:space="preserve"> обл., </w:t>
            </w:r>
            <w:proofErr w:type="spellStart"/>
            <w:r>
              <w:t>Новомосковский</w:t>
            </w:r>
            <w:proofErr w:type="spellEnd"/>
            <w:r>
              <w:t xml:space="preserve"> р-н, </w:t>
            </w:r>
            <w:r w:rsidR="00F46E0A">
              <w:br/>
            </w:r>
            <w:r>
              <w:t xml:space="preserve">г. </w:t>
            </w:r>
            <w:proofErr w:type="spellStart"/>
            <w:r>
              <w:t>Новомосковск</w:t>
            </w:r>
            <w:proofErr w:type="spellEnd"/>
            <w:r>
              <w:t xml:space="preserve">, </w:t>
            </w:r>
            <w:proofErr w:type="spellStart"/>
            <w:r>
              <w:t>шоссе</w:t>
            </w:r>
            <w:proofErr w:type="spellEnd"/>
            <w:r>
              <w:t xml:space="preserve"> </w:t>
            </w:r>
            <w:proofErr w:type="spellStart"/>
            <w:r>
              <w:t>Комсомольское</w:t>
            </w:r>
            <w:proofErr w:type="spellEnd"/>
            <w:r>
              <w:t>, д. 4).</w:t>
            </w:r>
          </w:p>
        </w:tc>
        <w:tc>
          <w:tcPr>
            <w:tcW w:w="2380" w:type="pct"/>
            <w:tcBorders>
              <w:top w:val="single" w:sz="4" w:space="0" w:color="auto"/>
            </w:tcBorders>
          </w:tcPr>
          <w:p w:rsidR="00D6145A" w:rsidRDefault="002B1D3D" w:rsidP="00B813F2">
            <w:pPr>
              <w:spacing w:before="120"/>
            </w:pPr>
            <w:r>
              <w:t xml:space="preserve">1) позбавлення державних нагород України, інших форм відзначення; </w:t>
            </w:r>
          </w:p>
          <w:p w:rsidR="00D6145A" w:rsidRDefault="002B1D3D">
            <w:r>
              <w:t xml:space="preserve">2) блокування </w:t>
            </w:r>
            <w:r w:rsidR="00B813F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w:t>
            </w:r>
            <w:bookmarkStart w:id="0" w:name="_GoBack"/>
            <w:bookmarkEnd w:id="0"/>
            <w:r>
              <w:t xml:space="preserve"> тотожні за змістом здійсненню права розпорядження ними; </w:t>
            </w:r>
          </w:p>
          <w:p w:rsidR="00D6145A" w:rsidRDefault="002B1D3D">
            <w:r>
              <w:t xml:space="preserve">3) обмеження торговельних операцій (повне припинення); </w:t>
            </w:r>
          </w:p>
          <w:p w:rsidR="00D6145A" w:rsidRDefault="002B1D3D">
            <w:r>
              <w:t xml:space="preserve">4) обмеження, часткове чи повне припинення транзиту ресурсів, польотів та перевезень територією України (повне припинення); </w:t>
            </w:r>
          </w:p>
          <w:p w:rsidR="00D6145A" w:rsidRDefault="002B1D3D">
            <w:r>
              <w:t xml:space="preserve">5) запобігання виведенню капіталів за межі України; </w:t>
            </w:r>
          </w:p>
          <w:p w:rsidR="00D6145A" w:rsidRDefault="002B1D3D">
            <w:r>
              <w:t>6) зупинення виконання економічних та фінансових зобов</w:t>
            </w:r>
            <w:r w:rsidR="00B813F2">
              <w:t>'</w:t>
            </w:r>
            <w:r>
              <w:t xml:space="preserve">язань; </w:t>
            </w:r>
          </w:p>
          <w:p w:rsidR="00D6145A" w:rsidRDefault="002B1D3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145A" w:rsidRDefault="002B1D3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145A" w:rsidRDefault="002B1D3D">
            <w:r>
              <w:lastRenderedPageBreak/>
              <w:t xml:space="preserve">9) заборона здійснення публічних та оборонних закупівель товарів, робіт і послуг у юридичних </w:t>
            </w:r>
            <w:r w:rsidR="00B813F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813F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145A" w:rsidRDefault="002B1D3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145A" w:rsidRDefault="002B1D3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145A" w:rsidRDefault="002B1D3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145A" w:rsidRDefault="002B1D3D">
            <w:r>
              <w:t xml:space="preserve">13)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 </w:t>
            </w:r>
          </w:p>
          <w:p w:rsidR="00D6145A" w:rsidRDefault="002B1D3D">
            <w:r>
              <w:t xml:space="preserve">14) припинення дії торговельних угод, спільних проектів та промислових програм у певних сферах, зокрема у сфері безпеки та оборони; </w:t>
            </w:r>
          </w:p>
          <w:p w:rsidR="00D6145A" w:rsidRDefault="002B1D3D">
            <w:r>
              <w:t>15) заборона передання технологій, прав на об</w:t>
            </w:r>
            <w:r w:rsidR="00B813F2">
              <w:t>'</w:t>
            </w:r>
            <w:r>
              <w:t xml:space="preserve">єкти права інтелектуальної власності; </w:t>
            </w:r>
          </w:p>
          <w:p w:rsidR="00D6145A" w:rsidRDefault="002B1D3D">
            <w:r>
              <w:t xml:space="preserve">16) анулювання офіційних візитів, засідань, переговорів з питань укладення договорів чи угод; </w:t>
            </w:r>
          </w:p>
          <w:p w:rsidR="00D6145A" w:rsidRDefault="002B1D3D">
            <w:r>
              <w:t xml:space="preserve">17) заборона на набуття у власність земельних ділянок; </w:t>
            </w:r>
          </w:p>
          <w:p w:rsidR="00D6145A" w:rsidRDefault="002B1D3D">
            <w:r>
              <w:t>18) інші санкції, що відповідають принципам їх застосування, встановленим цим Законом (зупинення фінансових операцій; заборона укладення договорів та вчинення правочинів).</w:t>
            </w:r>
          </w:p>
        </w:tc>
        <w:tc>
          <w:tcPr>
            <w:tcW w:w="0" w:type="auto"/>
            <w:tcBorders>
              <w:top w:val="single" w:sz="4" w:space="0" w:color="auto"/>
            </w:tcBorders>
          </w:tcPr>
          <w:p w:rsidR="00D6145A" w:rsidRDefault="002B1D3D" w:rsidP="00B813F2">
            <w:pPr>
              <w:spacing w:before="120"/>
            </w:pPr>
            <w:r>
              <w:lastRenderedPageBreak/>
              <w:t>безстроково; десять років</w:t>
            </w:r>
          </w:p>
        </w:tc>
      </w:tr>
      <w:tr w:rsidR="00D6145A" w:rsidTr="00B813F2">
        <w:trPr>
          <w:jc w:val="center"/>
        </w:trPr>
        <w:tc>
          <w:tcPr>
            <w:tcW w:w="0" w:type="auto"/>
          </w:tcPr>
          <w:p w:rsidR="00D6145A" w:rsidRDefault="002B1D3D">
            <w:r>
              <w:t>2.</w:t>
            </w:r>
          </w:p>
        </w:tc>
        <w:tc>
          <w:tcPr>
            <w:tcW w:w="1952" w:type="pct"/>
          </w:tcPr>
          <w:p w:rsidR="00D6145A" w:rsidRDefault="002B1D3D">
            <w:r>
              <w:t>Товариство з обмеженою відповідальністю "Технології автоматизації і програмування"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Технологии</w:t>
            </w:r>
            <w:proofErr w:type="spellEnd"/>
            <w:r>
              <w:t xml:space="preserve"> </w:t>
            </w:r>
            <w:proofErr w:type="spellStart"/>
            <w:r>
              <w:t>автоматизации</w:t>
            </w:r>
            <w:proofErr w:type="spellEnd"/>
            <w:r>
              <w:t xml:space="preserve"> и </w:t>
            </w:r>
            <w:proofErr w:type="spellStart"/>
            <w:r>
              <w:t>программирования</w:t>
            </w:r>
            <w:proofErr w:type="spellEnd"/>
            <w:r>
              <w:t>", ООО "</w:t>
            </w:r>
            <w:proofErr w:type="spellStart"/>
            <w:r>
              <w:t>ТАиП</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Automation</w:t>
            </w:r>
            <w:proofErr w:type="spellEnd"/>
            <w:r>
              <w:t xml:space="preserve"> </w:t>
            </w:r>
            <w:proofErr w:type="spellStart"/>
            <w:r>
              <w:t>Technology</w:t>
            </w:r>
            <w:proofErr w:type="spellEnd"/>
            <w:r>
              <w:t xml:space="preserve"> </w:t>
            </w:r>
            <w:proofErr w:type="spellStart"/>
            <w:r>
              <w:t>and</w:t>
            </w:r>
            <w:proofErr w:type="spellEnd"/>
            <w:r>
              <w:t xml:space="preserve"> </w:t>
            </w:r>
            <w:proofErr w:type="spellStart"/>
            <w:r>
              <w:t>Programming</w:t>
            </w:r>
            <w:proofErr w:type="spellEnd"/>
            <w:r>
              <w:t>", ATP LLC).</w:t>
            </w:r>
          </w:p>
          <w:p w:rsidR="00D6145A" w:rsidRDefault="002B1D3D">
            <w:r>
              <w:t>Країна реєстрації: Російська Федерація.</w:t>
            </w:r>
          </w:p>
          <w:p w:rsidR="00D6145A" w:rsidRDefault="002B1D3D">
            <w:r>
              <w:t>Відомості згідно з Єдиним державним реєстром юридичних осіб Російської Федерації</w:t>
            </w:r>
            <w:r w:rsidR="00302454">
              <w:t>:</w:t>
            </w:r>
            <w:r>
              <w:t xml:space="preserve"> основний д</w:t>
            </w:r>
            <w:r w:rsidR="00302454">
              <w:t>ержавний реєстраційний номер –</w:t>
            </w:r>
            <w:r>
              <w:t xml:space="preserve"> 1057811020080.</w:t>
            </w:r>
          </w:p>
          <w:p w:rsidR="00D6145A" w:rsidRDefault="002B1D3D">
            <w:r>
              <w:t>Податковий номер Російської Федерації: 7804317900.</w:t>
            </w:r>
          </w:p>
          <w:p w:rsidR="002B1D3D" w:rsidRDefault="00302454">
            <w:r>
              <w:t>Місце розташування –</w:t>
            </w:r>
            <w:r w:rsidR="002B1D3D">
              <w:t xml:space="preserve"> Російська Федерація, 195257, </w:t>
            </w:r>
          </w:p>
          <w:p w:rsidR="002B1D3D" w:rsidRDefault="002B1D3D">
            <w:r>
              <w:t xml:space="preserve">м. Санкт-Петербург, вул. </w:t>
            </w:r>
            <w:proofErr w:type="spellStart"/>
            <w:r>
              <w:t>Соф'ї</w:t>
            </w:r>
            <w:proofErr w:type="spellEnd"/>
            <w:r>
              <w:t xml:space="preserve"> Ковалевської, буд. 20, </w:t>
            </w:r>
            <w:proofErr w:type="spellStart"/>
            <w:r>
              <w:t>корп</w:t>
            </w:r>
            <w:proofErr w:type="spellEnd"/>
            <w:r>
              <w:t>. 1, літ. А (</w:t>
            </w:r>
            <w:proofErr w:type="spellStart"/>
            <w:r>
              <w:t>Российская</w:t>
            </w:r>
            <w:proofErr w:type="spellEnd"/>
            <w:r>
              <w:t xml:space="preserve"> </w:t>
            </w:r>
            <w:proofErr w:type="spellStart"/>
            <w:r>
              <w:t>Федерация</w:t>
            </w:r>
            <w:proofErr w:type="spellEnd"/>
            <w:r>
              <w:t xml:space="preserve">, 195257, </w:t>
            </w:r>
          </w:p>
          <w:p w:rsidR="002B1D3D" w:rsidRDefault="002B1D3D">
            <w:r>
              <w:t xml:space="preserve">г. Санкт-Петербург, </w:t>
            </w:r>
            <w:proofErr w:type="spellStart"/>
            <w:r>
              <w:t>ул</w:t>
            </w:r>
            <w:proofErr w:type="spellEnd"/>
            <w:r>
              <w:t xml:space="preserve">. </w:t>
            </w:r>
            <w:proofErr w:type="spellStart"/>
            <w:r>
              <w:t>Софьи</w:t>
            </w:r>
            <w:proofErr w:type="spellEnd"/>
            <w:r>
              <w:t xml:space="preserve"> </w:t>
            </w:r>
            <w:proofErr w:type="spellStart"/>
            <w:r>
              <w:t>Ковалевской</w:t>
            </w:r>
            <w:proofErr w:type="spellEnd"/>
            <w:r>
              <w:t xml:space="preserve">, д. 20, </w:t>
            </w:r>
          </w:p>
          <w:p w:rsidR="00D6145A" w:rsidRDefault="002B1D3D">
            <w:proofErr w:type="spellStart"/>
            <w:r>
              <w:t>корп</w:t>
            </w:r>
            <w:proofErr w:type="spellEnd"/>
            <w:r>
              <w:t xml:space="preserve">. 1, </w:t>
            </w:r>
            <w:proofErr w:type="spellStart"/>
            <w:r>
              <w:t>лит</w:t>
            </w:r>
            <w:proofErr w:type="spellEnd"/>
            <w:r>
              <w:t>. А).</w:t>
            </w:r>
          </w:p>
        </w:tc>
        <w:tc>
          <w:tcPr>
            <w:tcW w:w="2380" w:type="pct"/>
          </w:tcPr>
          <w:p w:rsidR="00D6145A" w:rsidRDefault="002B1D3D">
            <w:r>
              <w:t xml:space="preserve">1) позбавлення державних нагород України, інших форм відзначення; </w:t>
            </w:r>
          </w:p>
          <w:p w:rsidR="00D6145A" w:rsidRDefault="002B1D3D">
            <w:r>
              <w:t xml:space="preserve">2) блокування </w:t>
            </w:r>
            <w:r w:rsidR="00B813F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145A" w:rsidRDefault="002B1D3D">
            <w:r>
              <w:t xml:space="preserve">3) обмеження торговельних операцій (повне припинення); </w:t>
            </w:r>
          </w:p>
          <w:p w:rsidR="00D6145A" w:rsidRDefault="002B1D3D">
            <w:r>
              <w:t xml:space="preserve">4) обмеження, часткове чи повне припинення транзиту ресурсів, польотів та перевезень територією України (повне припинення); </w:t>
            </w:r>
          </w:p>
          <w:p w:rsidR="00D6145A" w:rsidRDefault="002B1D3D">
            <w:r>
              <w:t xml:space="preserve">5) запобігання виведенню капіталів за межі України; </w:t>
            </w:r>
          </w:p>
          <w:p w:rsidR="00D6145A" w:rsidRDefault="002B1D3D">
            <w:r>
              <w:t>6) зупинення виконання економічних та фінансових зобов</w:t>
            </w:r>
            <w:r w:rsidR="00B813F2">
              <w:t>'</w:t>
            </w:r>
            <w:r>
              <w:t xml:space="preserve">язань; </w:t>
            </w:r>
          </w:p>
          <w:p w:rsidR="00D6145A" w:rsidRDefault="002B1D3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145A" w:rsidRDefault="002B1D3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145A" w:rsidRDefault="002B1D3D">
            <w:r>
              <w:t xml:space="preserve">9) заборона здійснення публічних та оборонних закупівель товарів, робіт і послуг у юридичних </w:t>
            </w:r>
            <w:r w:rsidR="00B813F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813F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145A" w:rsidRDefault="002B1D3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145A" w:rsidRDefault="002B1D3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145A" w:rsidRDefault="002B1D3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145A" w:rsidRDefault="002B1D3D">
            <w:r>
              <w:t xml:space="preserve">13) припинення дії торговельних угод, спільних проектів та промислових програм у певних сферах, зокрема у сфері безпеки та оборони; </w:t>
            </w:r>
          </w:p>
          <w:p w:rsidR="00D6145A" w:rsidRDefault="002B1D3D">
            <w:r>
              <w:t>14) заборона передання технологій, прав на об</w:t>
            </w:r>
            <w:r w:rsidR="00B813F2">
              <w:t>'</w:t>
            </w:r>
            <w:r>
              <w:t xml:space="preserve">єкти права інтелектуальної власності; </w:t>
            </w:r>
          </w:p>
          <w:p w:rsidR="00D6145A" w:rsidRDefault="002B1D3D">
            <w:r>
              <w:t xml:space="preserve">15) анулювання офіційних візитів, засідань, переговорів з питань укладення договорів чи угод; </w:t>
            </w:r>
          </w:p>
          <w:p w:rsidR="00D6145A" w:rsidRDefault="002B1D3D">
            <w:r>
              <w:t xml:space="preserve">16) заборона на набуття у власність земельних ділянок; </w:t>
            </w:r>
          </w:p>
          <w:p w:rsidR="00D6145A" w:rsidRDefault="002B1D3D">
            <w:r>
              <w:t>17) інші санкції, що відповідають принципам їх застосування, встановленим цим Законом (зупинення фінансових операцій; заборона укладення договорів та вчинення правочинів).</w:t>
            </w:r>
          </w:p>
        </w:tc>
        <w:tc>
          <w:tcPr>
            <w:tcW w:w="0" w:type="auto"/>
          </w:tcPr>
          <w:p w:rsidR="00D6145A" w:rsidRDefault="002B1D3D">
            <w:r>
              <w:t>безстроково; десять років</w:t>
            </w:r>
          </w:p>
        </w:tc>
      </w:tr>
      <w:tr w:rsidR="00D6145A" w:rsidTr="00B813F2">
        <w:trPr>
          <w:jc w:val="center"/>
        </w:trPr>
        <w:tc>
          <w:tcPr>
            <w:tcW w:w="0" w:type="auto"/>
          </w:tcPr>
          <w:p w:rsidR="00D6145A" w:rsidRDefault="002B1D3D">
            <w:r>
              <w:t>3.</w:t>
            </w:r>
          </w:p>
        </w:tc>
        <w:tc>
          <w:tcPr>
            <w:tcW w:w="1952" w:type="pct"/>
          </w:tcPr>
          <w:p w:rsidR="00D6145A" w:rsidRDefault="002B1D3D">
            <w:r>
              <w:t>Товариство з обмеженою відповідальністю "Торговий дім "</w:t>
            </w:r>
            <w:proofErr w:type="spellStart"/>
            <w:r>
              <w:t>Лобаєв</w:t>
            </w:r>
            <w:proofErr w:type="spellEnd"/>
            <w:r>
              <w:t xml:space="preserve"> </w:t>
            </w:r>
            <w:proofErr w:type="spellStart"/>
            <w:r>
              <w:t>Армс</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Торговый</w:t>
            </w:r>
            <w:proofErr w:type="spellEnd"/>
            <w:r>
              <w:t xml:space="preserve"> </w:t>
            </w:r>
            <w:proofErr w:type="spellStart"/>
            <w:r>
              <w:t>дом</w:t>
            </w:r>
            <w:proofErr w:type="spellEnd"/>
            <w:r>
              <w:t xml:space="preserve"> "</w:t>
            </w:r>
            <w:proofErr w:type="spellStart"/>
            <w:r>
              <w:t>Лобаев</w:t>
            </w:r>
            <w:proofErr w:type="spellEnd"/>
            <w:r>
              <w:t xml:space="preserve"> </w:t>
            </w:r>
            <w:proofErr w:type="spellStart"/>
            <w:r>
              <w:t>Армс</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Lobaev</w:t>
            </w:r>
            <w:proofErr w:type="spellEnd"/>
            <w:r>
              <w:t xml:space="preserve"> </w:t>
            </w:r>
            <w:proofErr w:type="spellStart"/>
            <w:r>
              <w:t>Arms</w:t>
            </w:r>
            <w:proofErr w:type="spellEnd"/>
            <w:r>
              <w:t xml:space="preserve"> </w:t>
            </w:r>
            <w:proofErr w:type="spellStart"/>
            <w:r>
              <w:t>Trading</w:t>
            </w:r>
            <w:proofErr w:type="spellEnd"/>
            <w:r>
              <w:t xml:space="preserve"> </w:t>
            </w:r>
            <w:proofErr w:type="spellStart"/>
            <w:r>
              <w:t>House</w:t>
            </w:r>
            <w:proofErr w:type="spellEnd"/>
            <w:r>
              <w:t>").</w:t>
            </w:r>
          </w:p>
          <w:p w:rsidR="00D6145A" w:rsidRDefault="002B1D3D">
            <w:r>
              <w:t>Країна реєстрації: Російська Федерація.</w:t>
            </w:r>
          </w:p>
          <w:p w:rsidR="00D6145A" w:rsidRDefault="002B1D3D">
            <w:r>
              <w:t>Відомості згідно з Єдиним державним реєстром юридичних осіб Російської Федерації</w:t>
            </w:r>
            <w:r w:rsidR="00302454">
              <w:t xml:space="preserve">: </w:t>
            </w:r>
            <w:r>
              <w:t>основни</w:t>
            </w:r>
            <w:r w:rsidR="00302454">
              <w:t>й державний реєстраційний номер –</w:t>
            </w:r>
            <w:r>
              <w:t xml:space="preserve"> 1164027059382.</w:t>
            </w:r>
          </w:p>
          <w:p w:rsidR="00D6145A" w:rsidRDefault="002B1D3D">
            <w:r>
              <w:t>Податковий номер Російської Федерації: 4018011096.</w:t>
            </w:r>
          </w:p>
          <w:p w:rsidR="00D6145A" w:rsidRDefault="002B1D3D" w:rsidP="00302454">
            <w:r>
              <w:t>Місце розташування</w:t>
            </w:r>
            <w:r w:rsidR="00302454">
              <w:t xml:space="preserve"> –</w:t>
            </w:r>
            <w:r>
              <w:t xml:space="preserve"> Російська Федерація, 249100, Калузька обл., </w:t>
            </w:r>
            <w:proofErr w:type="spellStart"/>
            <w:r>
              <w:t>Таруський</w:t>
            </w:r>
            <w:proofErr w:type="spellEnd"/>
            <w:r>
              <w:t xml:space="preserve"> р-н, м. </w:t>
            </w:r>
            <w:proofErr w:type="spellStart"/>
            <w:r>
              <w:t>Таруса</w:t>
            </w:r>
            <w:proofErr w:type="spellEnd"/>
            <w:r>
              <w:t>, вул. Леніна, будівля 61, будова 1 (</w:t>
            </w:r>
            <w:proofErr w:type="spellStart"/>
            <w:r>
              <w:t>Российская</w:t>
            </w:r>
            <w:proofErr w:type="spellEnd"/>
            <w:r>
              <w:t xml:space="preserve"> </w:t>
            </w:r>
            <w:proofErr w:type="spellStart"/>
            <w:r>
              <w:t>Федерация</w:t>
            </w:r>
            <w:proofErr w:type="spellEnd"/>
            <w:r>
              <w:t xml:space="preserve">, 249100, </w:t>
            </w:r>
            <w:proofErr w:type="spellStart"/>
            <w:r>
              <w:t>Калужская</w:t>
            </w:r>
            <w:proofErr w:type="spellEnd"/>
            <w:r>
              <w:t xml:space="preserve"> обл., </w:t>
            </w:r>
            <w:proofErr w:type="spellStart"/>
            <w:r>
              <w:t>Тарусский</w:t>
            </w:r>
            <w:proofErr w:type="spellEnd"/>
            <w:r>
              <w:t xml:space="preserve"> р-н, г. </w:t>
            </w:r>
            <w:proofErr w:type="spellStart"/>
            <w:r>
              <w:t>Таруса</w:t>
            </w:r>
            <w:proofErr w:type="spellEnd"/>
            <w:r>
              <w:t xml:space="preserve">, </w:t>
            </w:r>
            <w:proofErr w:type="spellStart"/>
            <w:r>
              <w:t>ул</w:t>
            </w:r>
            <w:proofErr w:type="spellEnd"/>
            <w:r>
              <w:t xml:space="preserve">. Ленина, </w:t>
            </w:r>
            <w:proofErr w:type="spellStart"/>
            <w:r>
              <w:t>здание</w:t>
            </w:r>
            <w:proofErr w:type="spellEnd"/>
            <w:r>
              <w:t xml:space="preserve"> 61, </w:t>
            </w:r>
            <w:proofErr w:type="spellStart"/>
            <w:r>
              <w:t>строение</w:t>
            </w:r>
            <w:proofErr w:type="spellEnd"/>
            <w:r>
              <w:t xml:space="preserve"> 1).</w:t>
            </w:r>
          </w:p>
        </w:tc>
        <w:tc>
          <w:tcPr>
            <w:tcW w:w="2380" w:type="pct"/>
          </w:tcPr>
          <w:p w:rsidR="00D6145A" w:rsidRDefault="002B1D3D">
            <w:r>
              <w:t xml:space="preserve">1) позбавлення державних нагород України, інших форм відзначення; </w:t>
            </w:r>
          </w:p>
          <w:p w:rsidR="00D6145A" w:rsidRDefault="002B1D3D">
            <w:r>
              <w:t xml:space="preserve">2) блокування </w:t>
            </w:r>
            <w:r w:rsidR="00B813F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145A" w:rsidRDefault="002B1D3D">
            <w:r>
              <w:t xml:space="preserve">3) обмеження торговельних операцій (повне припинення); </w:t>
            </w:r>
          </w:p>
          <w:p w:rsidR="00D6145A" w:rsidRDefault="002B1D3D">
            <w:r>
              <w:t xml:space="preserve">4) обмеження, часткове чи повне припинення транзиту ресурсів, польотів та перевезень територією України (повне припинення); </w:t>
            </w:r>
          </w:p>
          <w:p w:rsidR="00D6145A" w:rsidRDefault="002B1D3D">
            <w:r>
              <w:t xml:space="preserve">5) запобігання виведенню капіталів за межі України; </w:t>
            </w:r>
          </w:p>
          <w:p w:rsidR="00D6145A" w:rsidRDefault="002B1D3D">
            <w:r>
              <w:t>6) зупинення виконання економічних та фінансових зобов</w:t>
            </w:r>
            <w:r w:rsidR="00B813F2">
              <w:t>'</w:t>
            </w:r>
            <w:r>
              <w:t xml:space="preserve">язань; </w:t>
            </w:r>
          </w:p>
          <w:p w:rsidR="00D6145A" w:rsidRDefault="002B1D3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145A" w:rsidRDefault="002B1D3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145A" w:rsidRDefault="002B1D3D">
            <w:r>
              <w:t xml:space="preserve">9) обмеження або припинення надання електронних комунікаційних послуг і використання електронних комунікаційних мереж (повне припинення); </w:t>
            </w:r>
          </w:p>
          <w:p w:rsidR="00D6145A" w:rsidRDefault="002B1D3D">
            <w:r>
              <w:t xml:space="preserve">10) заборона здійснення публічних та оборонних закупівель товарів, робіт і послуг у юридичних </w:t>
            </w:r>
            <w:r w:rsidR="00B813F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813F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145A" w:rsidRDefault="002B1D3D">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145A" w:rsidRDefault="002B1D3D">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145A" w:rsidRDefault="002B1D3D">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145A" w:rsidRDefault="002B1D3D">
            <w:r>
              <w:t xml:space="preserve">14)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 </w:t>
            </w:r>
          </w:p>
          <w:p w:rsidR="00D6145A" w:rsidRDefault="002B1D3D">
            <w:r>
              <w:t xml:space="preserve">15) припинення дії торговельних угод, спільних проектів та промислових програм у певних сферах, зокрема у сфері безпеки та оборони; </w:t>
            </w:r>
          </w:p>
          <w:p w:rsidR="00D6145A" w:rsidRDefault="002B1D3D">
            <w:r>
              <w:t>16) заборона передання технологій, прав на об</w:t>
            </w:r>
            <w:r w:rsidR="00B813F2">
              <w:t>'</w:t>
            </w:r>
            <w:r>
              <w:t xml:space="preserve">єкти права інтелектуальної власності; </w:t>
            </w:r>
          </w:p>
          <w:p w:rsidR="00D6145A" w:rsidRDefault="002B1D3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6145A" w:rsidRDefault="002B1D3D">
            <w:r>
              <w:t xml:space="preserve">18) анулювання офіційних візитів, засідань, переговорів з питань укладення договорів чи угод; </w:t>
            </w:r>
          </w:p>
          <w:p w:rsidR="00D6145A" w:rsidRDefault="002B1D3D">
            <w:r>
              <w:t xml:space="preserve">19) заборона на набуття у власність земельних ділянок; </w:t>
            </w:r>
          </w:p>
          <w:p w:rsidR="00D6145A" w:rsidRDefault="002B1D3D">
            <w:r>
              <w:t>20) інші санкції, що відповідають принципам їх застосування, встановленим цим Законом (зупинення фінансових операцій; заборона укладення договорів та вчинення правочинів).</w:t>
            </w:r>
          </w:p>
        </w:tc>
        <w:tc>
          <w:tcPr>
            <w:tcW w:w="0" w:type="auto"/>
          </w:tcPr>
          <w:p w:rsidR="00D6145A" w:rsidRDefault="002B1D3D">
            <w:r>
              <w:t>безстроково; десять років</w:t>
            </w:r>
          </w:p>
        </w:tc>
      </w:tr>
      <w:tr w:rsidR="00D6145A" w:rsidTr="00B813F2">
        <w:trPr>
          <w:jc w:val="center"/>
        </w:trPr>
        <w:tc>
          <w:tcPr>
            <w:tcW w:w="0" w:type="auto"/>
          </w:tcPr>
          <w:p w:rsidR="00D6145A" w:rsidRDefault="002B1D3D">
            <w:r>
              <w:t>4.</w:t>
            </w:r>
          </w:p>
        </w:tc>
        <w:tc>
          <w:tcPr>
            <w:tcW w:w="1952" w:type="pct"/>
          </w:tcPr>
          <w:p w:rsidR="00D6145A" w:rsidRDefault="002B1D3D">
            <w:r>
              <w:t>Федеральна державна бюджетна установа "Головний центр інформаційних технологій та метеорологічного обслуговування авіації Федеральної служби з гідрометеорології та моніторингу навколишнього середовища" (</w:t>
            </w:r>
            <w:proofErr w:type="spellStart"/>
            <w:r>
              <w:t>Федеральное</w:t>
            </w:r>
            <w:proofErr w:type="spellEnd"/>
            <w:r>
              <w:t xml:space="preserve"> </w:t>
            </w:r>
            <w:proofErr w:type="spellStart"/>
            <w:r>
              <w:t>государственное</w:t>
            </w:r>
            <w:proofErr w:type="spellEnd"/>
            <w:r>
              <w:t xml:space="preserve"> </w:t>
            </w:r>
            <w:proofErr w:type="spellStart"/>
            <w:r>
              <w:t>бюджетное</w:t>
            </w:r>
            <w:proofErr w:type="spellEnd"/>
            <w:r>
              <w:t xml:space="preserve"> </w:t>
            </w:r>
            <w:proofErr w:type="spellStart"/>
            <w:r>
              <w:t>учреждение</w:t>
            </w:r>
            <w:proofErr w:type="spellEnd"/>
            <w:r>
              <w:t xml:space="preserve"> "</w:t>
            </w:r>
            <w:proofErr w:type="spellStart"/>
            <w:r>
              <w:t>Главный</w:t>
            </w:r>
            <w:proofErr w:type="spellEnd"/>
            <w:r>
              <w:t xml:space="preserve"> центр </w:t>
            </w:r>
            <w:proofErr w:type="spellStart"/>
            <w:r>
              <w:t>информационных</w:t>
            </w:r>
            <w:proofErr w:type="spellEnd"/>
            <w:r>
              <w:t xml:space="preserve"> </w:t>
            </w:r>
            <w:proofErr w:type="spellStart"/>
            <w:r>
              <w:t>технологий</w:t>
            </w:r>
            <w:proofErr w:type="spellEnd"/>
            <w:r>
              <w:t xml:space="preserve"> и </w:t>
            </w:r>
            <w:proofErr w:type="spellStart"/>
            <w:r>
              <w:t>метеорологического</w:t>
            </w:r>
            <w:proofErr w:type="spellEnd"/>
            <w:r>
              <w:t xml:space="preserve"> </w:t>
            </w:r>
            <w:proofErr w:type="spellStart"/>
            <w:r>
              <w:t>обслуживания</w:t>
            </w:r>
            <w:proofErr w:type="spellEnd"/>
            <w:r>
              <w:t xml:space="preserve"> </w:t>
            </w:r>
            <w:proofErr w:type="spellStart"/>
            <w:r>
              <w:t>авиации</w:t>
            </w:r>
            <w:proofErr w:type="spellEnd"/>
            <w:r>
              <w:t xml:space="preserve"> </w:t>
            </w:r>
            <w:proofErr w:type="spellStart"/>
            <w:r>
              <w:t>Федеральной</w:t>
            </w:r>
            <w:proofErr w:type="spellEnd"/>
            <w:r>
              <w:t xml:space="preserve"> </w:t>
            </w:r>
            <w:proofErr w:type="spellStart"/>
            <w:r>
              <w:t>службы</w:t>
            </w:r>
            <w:proofErr w:type="spellEnd"/>
            <w:r>
              <w:t xml:space="preserve"> по </w:t>
            </w:r>
            <w:proofErr w:type="spellStart"/>
            <w:r>
              <w:t>гидрометеорологии</w:t>
            </w:r>
            <w:proofErr w:type="spellEnd"/>
            <w:r>
              <w:t xml:space="preserve"> и </w:t>
            </w:r>
            <w:proofErr w:type="spellStart"/>
            <w:r>
              <w:t>мониторингу</w:t>
            </w:r>
            <w:proofErr w:type="spellEnd"/>
            <w:r>
              <w:t xml:space="preserve"> </w:t>
            </w:r>
            <w:proofErr w:type="spellStart"/>
            <w:r>
              <w:t>окружающей</w:t>
            </w:r>
            <w:proofErr w:type="spellEnd"/>
            <w:r>
              <w:t xml:space="preserve"> </w:t>
            </w:r>
            <w:proofErr w:type="spellStart"/>
            <w:r>
              <w:t>среды</w:t>
            </w:r>
            <w:proofErr w:type="spellEnd"/>
            <w:r>
              <w:t>", ФГБУ "</w:t>
            </w:r>
            <w:proofErr w:type="spellStart"/>
            <w:r>
              <w:t>Авиаметтелеком</w:t>
            </w:r>
            <w:proofErr w:type="spellEnd"/>
            <w:r>
              <w:t xml:space="preserve"> </w:t>
            </w:r>
            <w:proofErr w:type="spellStart"/>
            <w:r>
              <w:t>Росгидромета</w:t>
            </w:r>
            <w:proofErr w:type="spellEnd"/>
            <w:r>
              <w:t xml:space="preserve">", </w:t>
            </w:r>
            <w:proofErr w:type="spellStart"/>
            <w:r>
              <w:t>Federal</w:t>
            </w:r>
            <w:proofErr w:type="spellEnd"/>
            <w:r>
              <w:t xml:space="preserve"> </w:t>
            </w:r>
            <w:proofErr w:type="spellStart"/>
            <w:r>
              <w:t>State</w:t>
            </w:r>
            <w:proofErr w:type="spellEnd"/>
            <w:r>
              <w:t xml:space="preserve"> </w:t>
            </w:r>
            <w:proofErr w:type="spellStart"/>
            <w:r>
              <w:t>Budgetary</w:t>
            </w:r>
            <w:proofErr w:type="spellEnd"/>
            <w:r>
              <w:t xml:space="preserve"> </w:t>
            </w:r>
            <w:proofErr w:type="spellStart"/>
            <w:r>
              <w:t>Institution</w:t>
            </w:r>
            <w:proofErr w:type="spellEnd"/>
            <w:r>
              <w:t xml:space="preserve"> "</w:t>
            </w:r>
            <w:proofErr w:type="spellStart"/>
            <w:r>
              <w:t>Main</w:t>
            </w:r>
            <w:proofErr w:type="spellEnd"/>
            <w:r>
              <w:t xml:space="preserve"> </w:t>
            </w:r>
            <w:proofErr w:type="spellStart"/>
            <w:r>
              <w:t>Center</w:t>
            </w:r>
            <w:proofErr w:type="spellEnd"/>
            <w:r>
              <w:t xml:space="preserve"> </w:t>
            </w:r>
            <w:proofErr w:type="spellStart"/>
            <w:r>
              <w:t>for</w:t>
            </w:r>
            <w:proofErr w:type="spellEnd"/>
            <w:r>
              <w:t xml:space="preserve"> </w:t>
            </w:r>
            <w:proofErr w:type="spellStart"/>
            <w:r>
              <w:t>Information</w:t>
            </w:r>
            <w:proofErr w:type="spellEnd"/>
            <w:r>
              <w:t xml:space="preserve"> Technologies </w:t>
            </w:r>
            <w:proofErr w:type="spellStart"/>
            <w:r>
              <w:t>and</w:t>
            </w:r>
            <w:proofErr w:type="spellEnd"/>
            <w:r>
              <w:t xml:space="preserve"> </w:t>
            </w:r>
            <w:proofErr w:type="spellStart"/>
            <w:r>
              <w:t>Meteorological</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Aviation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Federal</w:t>
            </w:r>
            <w:proofErr w:type="spellEnd"/>
            <w:r>
              <w:t xml:space="preserve"> </w:t>
            </w:r>
            <w:proofErr w:type="spellStart"/>
            <w:r>
              <w:t>Service</w:t>
            </w:r>
            <w:proofErr w:type="spellEnd"/>
            <w:r>
              <w:t xml:space="preserve"> </w:t>
            </w:r>
            <w:proofErr w:type="spellStart"/>
            <w:r>
              <w:t>for</w:t>
            </w:r>
            <w:proofErr w:type="spellEnd"/>
            <w:r>
              <w:t xml:space="preserve"> </w:t>
            </w:r>
            <w:proofErr w:type="spellStart"/>
            <w:r>
              <w:t>Hydrometeorology</w:t>
            </w:r>
            <w:proofErr w:type="spellEnd"/>
            <w:r>
              <w:t xml:space="preserve"> </w:t>
            </w:r>
            <w:proofErr w:type="spellStart"/>
            <w:r>
              <w:t>and</w:t>
            </w:r>
            <w:proofErr w:type="spellEnd"/>
            <w:r>
              <w:t xml:space="preserve"> </w:t>
            </w:r>
            <w:proofErr w:type="spellStart"/>
            <w:r>
              <w:t>Environmental</w:t>
            </w:r>
            <w:proofErr w:type="spellEnd"/>
            <w:r>
              <w:t xml:space="preserve"> </w:t>
            </w:r>
            <w:proofErr w:type="spellStart"/>
            <w:r>
              <w:t>Monitoring</w:t>
            </w:r>
            <w:proofErr w:type="spellEnd"/>
            <w:r>
              <w:t>", FGBU "</w:t>
            </w:r>
            <w:proofErr w:type="spellStart"/>
            <w:r>
              <w:t>Aviamettelekom</w:t>
            </w:r>
            <w:proofErr w:type="spellEnd"/>
            <w:r>
              <w:t xml:space="preserve"> </w:t>
            </w:r>
            <w:proofErr w:type="spellStart"/>
            <w:r>
              <w:t>Rosgidrometa</w:t>
            </w:r>
            <w:proofErr w:type="spellEnd"/>
            <w:r>
              <w:t>").</w:t>
            </w:r>
          </w:p>
          <w:p w:rsidR="00D6145A" w:rsidRDefault="002B1D3D">
            <w:r>
              <w:t>Країна реєстрації: Російська Федерація.</w:t>
            </w:r>
          </w:p>
          <w:p w:rsidR="00D6145A" w:rsidRDefault="002B1D3D">
            <w:r>
              <w:t>Відомості згідно з Єдиним державним реєстром юридичних осіб Російської Федерації</w:t>
            </w:r>
            <w:r w:rsidR="00302454">
              <w:t xml:space="preserve">: </w:t>
            </w:r>
            <w:r>
              <w:t>основний</w:t>
            </w:r>
            <w:r w:rsidR="00302454">
              <w:t xml:space="preserve"> державний реєстраційний номер –</w:t>
            </w:r>
            <w:r>
              <w:t xml:space="preserve"> 1027739491669.</w:t>
            </w:r>
          </w:p>
          <w:p w:rsidR="00D6145A" w:rsidRDefault="002B1D3D">
            <w:r>
              <w:t>Податковий номер Російської Федерації: 7703019417.</w:t>
            </w:r>
          </w:p>
          <w:p w:rsidR="002B1D3D" w:rsidRDefault="002B1D3D">
            <w:r>
              <w:t>Місце розташування</w:t>
            </w:r>
            <w:r w:rsidR="00302454">
              <w:t xml:space="preserve"> –</w:t>
            </w:r>
            <w:r>
              <w:t xml:space="preserve"> Російська Федерація, 123376, </w:t>
            </w:r>
          </w:p>
          <w:p w:rsidR="002B1D3D" w:rsidRDefault="002B1D3D">
            <w:r>
              <w:t xml:space="preserve">м. Москва, </w:t>
            </w:r>
            <w:proofErr w:type="spellStart"/>
            <w:r>
              <w:t>пров</w:t>
            </w:r>
            <w:proofErr w:type="spellEnd"/>
            <w:r>
              <w:t xml:space="preserve">. </w:t>
            </w:r>
            <w:proofErr w:type="spellStart"/>
            <w:r>
              <w:t>Прокудинський</w:t>
            </w:r>
            <w:proofErr w:type="spellEnd"/>
            <w:r>
              <w:t>, буд. 2/12, будова 1 (</w:t>
            </w:r>
            <w:proofErr w:type="spellStart"/>
            <w:r>
              <w:t>Российская</w:t>
            </w:r>
            <w:proofErr w:type="spellEnd"/>
            <w:r>
              <w:t xml:space="preserve"> </w:t>
            </w:r>
            <w:proofErr w:type="spellStart"/>
            <w:r>
              <w:t>Федерация</w:t>
            </w:r>
            <w:proofErr w:type="spellEnd"/>
            <w:r>
              <w:t xml:space="preserve">, 123376, г. Москва, </w:t>
            </w:r>
          </w:p>
          <w:p w:rsidR="00D6145A" w:rsidRDefault="002B1D3D">
            <w:r>
              <w:t xml:space="preserve">пер. </w:t>
            </w:r>
            <w:proofErr w:type="spellStart"/>
            <w:r>
              <w:t>Прокудинский</w:t>
            </w:r>
            <w:proofErr w:type="spellEnd"/>
            <w:r>
              <w:t xml:space="preserve">, д. 2/12, </w:t>
            </w:r>
            <w:proofErr w:type="spellStart"/>
            <w:r>
              <w:t>строение</w:t>
            </w:r>
            <w:proofErr w:type="spellEnd"/>
            <w:r>
              <w:t xml:space="preserve"> 1).</w:t>
            </w:r>
          </w:p>
        </w:tc>
        <w:tc>
          <w:tcPr>
            <w:tcW w:w="2380" w:type="pct"/>
          </w:tcPr>
          <w:p w:rsidR="00D6145A" w:rsidRDefault="002B1D3D">
            <w:r>
              <w:t xml:space="preserve">1) позбавлення державних нагород України, інших форм відзначення; </w:t>
            </w:r>
          </w:p>
          <w:p w:rsidR="00D6145A" w:rsidRDefault="002B1D3D">
            <w:r>
              <w:t xml:space="preserve">2) блокування </w:t>
            </w:r>
            <w:r w:rsidR="00B813F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6145A" w:rsidRDefault="002B1D3D">
            <w:r>
              <w:t xml:space="preserve">3) обмеження торговельних операцій (повне припинення); </w:t>
            </w:r>
          </w:p>
          <w:p w:rsidR="00D6145A" w:rsidRDefault="002B1D3D">
            <w:r>
              <w:t xml:space="preserve">4) обмеження, часткове чи повне припинення транзиту ресурсів, польотів та перевезень територією України (повне припинення); </w:t>
            </w:r>
          </w:p>
          <w:p w:rsidR="00D6145A" w:rsidRDefault="002B1D3D">
            <w:r>
              <w:t xml:space="preserve">5) запобігання виведенню капіталів за межі України; </w:t>
            </w:r>
          </w:p>
          <w:p w:rsidR="00D6145A" w:rsidRDefault="002B1D3D">
            <w:r>
              <w:t>6) зупинення виконання економічних та фінансових зобов</w:t>
            </w:r>
            <w:r w:rsidR="00B813F2">
              <w:t>'</w:t>
            </w:r>
            <w:r>
              <w:t xml:space="preserve">язань; </w:t>
            </w:r>
          </w:p>
          <w:p w:rsidR="00D6145A" w:rsidRDefault="002B1D3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6145A" w:rsidRDefault="002B1D3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6145A" w:rsidRDefault="002B1D3D">
            <w:r>
              <w:t xml:space="preserve">9) заборона здійснення публічних та оборонних закупівель товарів, робіт і послуг у юридичних </w:t>
            </w:r>
            <w:r w:rsidR="00B813F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813F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6145A" w:rsidRDefault="002B1D3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6145A" w:rsidRDefault="002B1D3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6145A" w:rsidRDefault="002B1D3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6145A" w:rsidRDefault="002B1D3D">
            <w:r>
              <w:t xml:space="preserve">13)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 </w:t>
            </w:r>
          </w:p>
          <w:p w:rsidR="00D6145A" w:rsidRDefault="002B1D3D">
            <w:r>
              <w:t xml:space="preserve">14) припинення дії торговельних угод, спільних проектів та промислових програм у певних сферах, зокрема у сфері безпеки та оборони; </w:t>
            </w:r>
          </w:p>
          <w:p w:rsidR="00D6145A" w:rsidRDefault="002B1D3D">
            <w:r>
              <w:t>15) заборона передання технологій, прав на об</w:t>
            </w:r>
            <w:r w:rsidR="00B813F2">
              <w:t>'</w:t>
            </w:r>
            <w:r>
              <w:t xml:space="preserve">єкти права інтелектуальної власності; </w:t>
            </w:r>
          </w:p>
          <w:p w:rsidR="00D6145A" w:rsidRDefault="002B1D3D">
            <w:r>
              <w:t xml:space="preserve">16) анулювання офіційних візитів, засідань, переговорів з питань укладення договорів чи угод; </w:t>
            </w:r>
          </w:p>
          <w:p w:rsidR="00D6145A" w:rsidRDefault="002B1D3D">
            <w:r>
              <w:t xml:space="preserve">17) заборона на набуття у власність земельних ділянок; </w:t>
            </w:r>
          </w:p>
          <w:p w:rsidR="00D6145A" w:rsidRDefault="002B1D3D">
            <w:r>
              <w:t>18) інші санкції, що відповідають принципам їх застосування, встановленим цим Законом (зупинення фінансових операцій; заборона укладення договорів та вчинення правочинів).</w:t>
            </w:r>
          </w:p>
        </w:tc>
        <w:tc>
          <w:tcPr>
            <w:tcW w:w="0" w:type="auto"/>
          </w:tcPr>
          <w:p w:rsidR="00D6145A" w:rsidRDefault="002B1D3D">
            <w:r>
              <w:t>безстроково; десять років</w:t>
            </w:r>
          </w:p>
        </w:tc>
      </w:tr>
    </w:tbl>
    <w:p w:rsidR="00C37C11" w:rsidRDefault="00C37C11"/>
    <w:p w:rsidR="002B1D3D" w:rsidRDefault="002B1D3D" w:rsidP="002B1D3D">
      <w:pPr>
        <w:jc w:val="center"/>
      </w:pPr>
      <w:r>
        <w:t>_____________________________________________</w:t>
      </w:r>
    </w:p>
    <w:sectPr w:rsidR="002B1D3D" w:rsidSect="00B813F2">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F3" w:rsidRDefault="004D54F3">
      <w:r>
        <w:separator/>
      </w:r>
    </w:p>
  </w:endnote>
  <w:endnote w:type="continuationSeparator" w:id="0">
    <w:p w:rsidR="004D54F3" w:rsidRDefault="004D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F3" w:rsidRDefault="004D54F3">
      <w:r>
        <w:separator/>
      </w:r>
    </w:p>
  </w:footnote>
  <w:footnote w:type="continuationSeparator" w:id="0">
    <w:p w:rsidR="004D54F3" w:rsidRDefault="004D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3F2" w:rsidRDefault="00B813F2">
    <w:pPr>
      <w:jc w:val="center"/>
    </w:pPr>
  </w:p>
  <w:p w:rsidR="00D6145A" w:rsidRDefault="002B1D3D">
    <w:pPr>
      <w:jc w:val="center"/>
    </w:pPr>
    <w:r>
      <w:fldChar w:fldCharType="begin"/>
    </w:r>
    <w:r>
      <w:instrText>PAGE</w:instrText>
    </w:r>
    <w:r>
      <w:fldChar w:fldCharType="separate"/>
    </w:r>
    <w:r w:rsidR="00F54CA3">
      <w:rPr>
        <w:noProof/>
      </w:rPr>
      <w:t>8</w:t>
    </w:r>
    <w:r>
      <w:fldChar w:fldCharType="end"/>
    </w:r>
  </w:p>
  <w:p w:rsidR="00D6145A" w:rsidRDefault="002B1D3D">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3D" w:rsidRPr="00864278" w:rsidRDefault="002B1D3D" w:rsidP="002B1D3D">
    <w:pPr>
      <w:ind w:left="11907"/>
      <w:rPr>
        <w:lang w:val="en-US"/>
      </w:rPr>
    </w:pPr>
  </w:p>
  <w:p w:rsidR="002B1D3D" w:rsidRPr="00864278" w:rsidRDefault="002B1D3D" w:rsidP="002B1D3D">
    <w:pPr>
      <w:ind w:left="11907"/>
      <w:rPr>
        <w:lang w:val="en-US"/>
      </w:rPr>
    </w:pPr>
  </w:p>
  <w:p w:rsidR="002B1D3D" w:rsidRDefault="002B1D3D" w:rsidP="002B1D3D">
    <w:pPr>
      <w:ind w:left="8221"/>
      <w:jc w:val="center"/>
      <w:rPr>
        <w:lang w:val="ru-RU"/>
      </w:rPr>
    </w:pPr>
  </w:p>
  <w:p w:rsidR="002B1D3D" w:rsidRDefault="002B1D3D" w:rsidP="002D0372">
    <w:pPr>
      <w:ind w:left="8789"/>
      <w:jc w:val="center"/>
      <w:rPr>
        <w:lang w:val="ru-RU"/>
      </w:rPr>
    </w:pPr>
    <w:r>
      <w:t>Додаток 2</w:t>
    </w:r>
  </w:p>
  <w:p w:rsidR="002B1D3D" w:rsidRDefault="00864278" w:rsidP="00B813F2">
    <w:pPr>
      <w:ind w:left="8789"/>
      <w:jc w:val="center"/>
    </w:pPr>
    <w:r>
      <w:t>до</w:t>
    </w:r>
    <w:r w:rsidR="002B1D3D">
      <w:t xml:space="preserve"> рішення Ради національної безпеки і оборони України </w:t>
    </w:r>
    <w:r w:rsidR="002D0372">
      <w:br/>
    </w:r>
    <w:r w:rsidR="002B1D3D">
      <w:t xml:space="preserve">від </w:t>
    </w:r>
    <w:r w:rsidR="002D0372">
      <w:t>10 червня</w:t>
    </w:r>
    <w:r w:rsidR="002B1D3D">
      <w:rPr>
        <w:lang w:val="ru-RU"/>
      </w:rPr>
      <w:t xml:space="preserve"> 2026</w:t>
    </w:r>
    <w:r w:rsidR="002B1D3D">
      <w:t xml:space="preserve"> року "Про застосування персональних спеціальних економічних та інших обмежувальних заходів (санкцій)"</w:t>
    </w:r>
    <w:r w:rsidR="00B813F2">
      <w:t>, введеного в дію Указом Президента України</w:t>
    </w:r>
  </w:p>
  <w:p w:rsidR="00D6145A" w:rsidRPr="002B1D3D" w:rsidRDefault="00F54CA3" w:rsidP="00F54CA3">
    <w:pPr>
      <w:ind w:left="8931"/>
      <w:jc w:val="center"/>
    </w:pPr>
    <w:r>
      <w:t>від 22 червня 2026 року № 502/2026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42748"/>
    <w:multiLevelType w:val="hybridMultilevel"/>
    <w:tmpl w:val="72DA8658"/>
    <w:lvl w:ilvl="0" w:tplc="7A404EA8">
      <w:start w:val="1"/>
      <w:numFmt w:val="bullet"/>
      <w:lvlText w:val="●"/>
      <w:lvlJc w:val="left"/>
      <w:pPr>
        <w:ind w:left="720" w:hanging="360"/>
      </w:pPr>
    </w:lvl>
    <w:lvl w:ilvl="1" w:tplc="F31E7182">
      <w:start w:val="1"/>
      <w:numFmt w:val="bullet"/>
      <w:lvlText w:val="○"/>
      <w:lvlJc w:val="left"/>
      <w:pPr>
        <w:ind w:left="1440" w:hanging="360"/>
      </w:pPr>
    </w:lvl>
    <w:lvl w:ilvl="2" w:tplc="02025186">
      <w:start w:val="1"/>
      <w:numFmt w:val="bullet"/>
      <w:lvlText w:val="■"/>
      <w:lvlJc w:val="left"/>
      <w:pPr>
        <w:ind w:left="2160" w:hanging="360"/>
      </w:pPr>
    </w:lvl>
    <w:lvl w:ilvl="3" w:tplc="F8F8F3AE">
      <w:start w:val="1"/>
      <w:numFmt w:val="bullet"/>
      <w:lvlText w:val="●"/>
      <w:lvlJc w:val="left"/>
      <w:pPr>
        <w:ind w:left="2880" w:hanging="360"/>
      </w:pPr>
    </w:lvl>
    <w:lvl w:ilvl="4" w:tplc="23FCF56C">
      <w:start w:val="1"/>
      <w:numFmt w:val="bullet"/>
      <w:lvlText w:val="○"/>
      <w:lvlJc w:val="left"/>
      <w:pPr>
        <w:ind w:left="3600" w:hanging="360"/>
      </w:pPr>
    </w:lvl>
    <w:lvl w:ilvl="5" w:tplc="CA42C348">
      <w:start w:val="1"/>
      <w:numFmt w:val="bullet"/>
      <w:lvlText w:val="■"/>
      <w:lvlJc w:val="left"/>
      <w:pPr>
        <w:ind w:left="4320" w:hanging="360"/>
      </w:pPr>
    </w:lvl>
    <w:lvl w:ilvl="6" w:tplc="5656A692">
      <w:start w:val="1"/>
      <w:numFmt w:val="bullet"/>
      <w:lvlText w:val="●"/>
      <w:lvlJc w:val="left"/>
      <w:pPr>
        <w:ind w:left="5040" w:hanging="360"/>
      </w:pPr>
    </w:lvl>
    <w:lvl w:ilvl="7" w:tplc="D1BE16F8">
      <w:start w:val="1"/>
      <w:numFmt w:val="bullet"/>
      <w:lvlText w:val="●"/>
      <w:lvlJc w:val="left"/>
      <w:pPr>
        <w:ind w:left="5760" w:hanging="360"/>
      </w:pPr>
    </w:lvl>
    <w:lvl w:ilvl="8" w:tplc="6ABC46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5A"/>
    <w:rsid w:val="001E4D60"/>
    <w:rsid w:val="002B1D3D"/>
    <w:rsid w:val="002D0372"/>
    <w:rsid w:val="00302454"/>
    <w:rsid w:val="00482E3C"/>
    <w:rsid w:val="004D54F3"/>
    <w:rsid w:val="00864278"/>
    <w:rsid w:val="00B51E34"/>
    <w:rsid w:val="00B813F2"/>
    <w:rsid w:val="00C37C11"/>
    <w:rsid w:val="00C75BE3"/>
    <w:rsid w:val="00D6145A"/>
    <w:rsid w:val="00F46E0A"/>
    <w:rsid w:val="00F54CA3"/>
    <w:rsid w:val="00F953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1D4F2-A886-4B47-8119-D9A3310B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B1D3D"/>
    <w:pPr>
      <w:tabs>
        <w:tab w:val="center" w:pos="4819"/>
        <w:tab w:val="right" w:pos="9639"/>
      </w:tabs>
    </w:pPr>
  </w:style>
  <w:style w:type="character" w:customStyle="1" w:styleId="aa">
    <w:name w:val="Верхній колонтитул Знак"/>
    <w:basedOn w:val="a0"/>
    <w:link w:val="a9"/>
    <w:uiPriority w:val="99"/>
    <w:rsid w:val="002B1D3D"/>
  </w:style>
  <w:style w:type="paragraph" w:styleId="ab">
    <w:name w:val="footer"/>
    <w:basedOn w:val="a"/>
    <w:link w:val="ac"/>
    <w:uiPriority w:val="99"/>
    <w:unhideWhenUsed/>
    <w:rsid w:val="002B1D3D"/>
    <w:pPr>
      <w:tabs>
        <w:tab w:val="center" w:pos="4819"/>
        <w:tab w:val="right" w:pos="9639"/>
      </w:tabs>
    </w:pPr>
  </w:style>
  <w:style w:type="character" w:customStyle="1" w:styleId="ac">
    <w:name w:val="Нижній колонтитул Знак"/>
    <w:basedOn w:val="a0"/>
    <w:link w:val="ab"/>
    <w:uiPriority w:val="99"/>
    <w:rsid w:val="002B1D3D"/>
  </w:style>
  <w:style w:type="paragraph" w:styleId="ad">
    <w:name w:val="Balloon Text"/>
    <w:basedOn w:val="a"/>
    <w:link w:val="ae"/>
    <w:uiPriority w:val="99"/>
    <w:semiHidden/>
    <w:unhideWhenUsed/>
    <w:rsid w:val="002D0372"/>
    <w:rPr>
      <w:rFonts w:ascii="Tahoma" w:hAnsi="Tahoma" w:cs="Tahoma"/>
      <w:sz w:val="16"/>
      <w:szCs w:val="16"/>
    </w:rPr>
  </w:style>
  <w:style w:type="character" w:customStyle="1" w:styleId="ae">
    <w:name w:val="Текст у виносці Знак"/>
    <w:basedOn w:val="a0"/>
    <w:link w:val="ad"/>
    <w:uiPriority w:val="99"/>
    <w:semiHidden/>
    <w:rsid w:val="002D0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2715">
      <w:bodyDiv w:val="1"/>
      <w:marLeft w:val="0"/>
      <w:marRight w:val="0"/>
      <w:marTop w:val="0"/>
      <w:marBottom w:val="0"/>
      <w:divBdr>
        <w:top w:val="none" w:sz="0" w:space="0" w:color="auto"/>
        <w:left w:val="none" w:sz="0" w:space="0" w:color="auto"/>
        <w:bottom w:val="none" w:sz="0" w:space="0" w:color="auto"/>
        <w:right w:val="none" w:sz="0" w:space="0" w:color="auto"/>
      </w:divBdr>
    </w:div>
    <w:div w:id="169483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9963</Words>
  <Characters>5680</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2026-06-22T15:35:00Z</cp:lastPrinted>
  <dcterms:created xsi:type="dcterms:W3CDTF">2026-06-10T16:04:00Z</dcterms:created>
  <dcterms:modified xsi:type="dcterms:W3CDTF">2026-06-22T15:36:00Z</dcterms:modified>
</cp:coreProperties>
</file>