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294" w:rsidRPr="00EF1785" w:rsidRDefault="00337294" w:rsidP="0072309A">
      <w:pPr>
        <w:ind w:left="3969"/>
        <w:jc w:val="center"/>
        <w:rPr>
          <w:sz w:val="24"/>
          <w:szCs w:val="24"/>
        </w:rPr>
      </w:pPr>
      <w:bookmarkStart w:id="0" w:name="_GoBack"/>
      <w:bookmarkEnd w:id="0"/>
      <w:r w:rsidRPr="00BB22A0">
        <w:rPr>
          <w:sz w:val="24"/>
          <w:szCs w:val="24"/>
        </w:rPr>
        <w:t xml:space="preserve">Додаток </w:t>
      </w:r>
    </w:p>
    <w:p w:rsidR="0072309A" w:rsidRDefault="00337294" w:rsidP="0072309A">
      <w:pPr>
        <w:ind w:left="3969"/>
        <w:jc w:val="center"/>
        <w:rPr>
          <w:sz w:val="24"/>
          <w:szCs w:val="24"/>
        </w:rPr>
      </w:pPr>
      <w:r>
        <w:rPr>
          <w:sz w:val="24"/>
          <w:szCs w:val="24"/>
        </w:rPr>
        <w:t xml:space="preserve">до </w:t>
      </w:r>
      <w:r w:rsidRPr="00BB22A0">
        <w:rPr>
          <w:sz w:val="24"/>
          <w:szCs w:val="24"/>
        </w:rPr>
        <w:t xml:space="preserve">рішення Ради національної безпеки і оборони України від </w:t>
      </w:r>
      <w:r w:rsidR="007A7297">
        <w:rPr>
          <w:sz w:val="24"/>
          <w:szCs w:val="24"/>
        </w:rPr>
        <w:t>9 червня</w:t>
      </w:r>
      <w:r w:rsidRPr="00BB22A0">
        <w:rPr>
          <w:sz w:val="24"/>
          <w:szCs w:val="24"/>
        </w:rPr>
        <w:t xml:space="preserve"> </w:t>
      </w:r>
      <w:r>
        <w:rPr>
          <w:sz w:val="24"/>
          <w:szCs w:val="24"/>
        </w:rPr>
        <w:t>2026</w:t>
      </w:r>
      <w:r w:rsidRPr="00BB22A0">
        <w:rPr>
          <w:sz w:val="24"/>
          <w:szCs w:val="24"/>
        </w:rPr>
        <w:t xml:space="preserve"> року "</w:t>
      </w:r>
      <w:r w:rsidRPr="00EF1785">
        <w:rPr>
          <w:sz w:val="24"/>
          <w:szCs w:val="24"/>
        </w:rPr>
        <w:t>Про внесення змін до рішення Ради національної безпеки і оборони України від 22 лютого 2023 року "Про застосування секторальних спеціальних економічних та інших обмежувальних заходів (санкцій) до фінансових установ Російської Фед</w:t>
      </w:r>
      <w:r>
        <w:rPr>
          <w:sz w:val="24"/>
          <w:szCs w:val="24"/>
        </w:rPr>
        <w:t>ерації</w:t>
      </w:r>
      <w:r w:rsidR="00344173">
        <w:rPr>
          <w:sz w:val="24"/>
          <w:szCs w:val="24"/>
        </w:rPr>
        <w:t>"</w:t>
      </w:r>
      <w:r w:rsidR="001711FE">
        <w:rPr>
          <w:sz w:val="24"/>
          <w:szCs w:val="24"/>
        </w:rPr>
        <w:t xml:space="preserve">, введеного </w:t>
      </w:r>
    </w:p>
    <w:p w:rsidR="00337294" w:rsidRDefault="001711FE" w:rsidP="0072309A">
      <w:pPr>
        <w:ind w:left="3969"/>
        <w:jc w:val="center"/>
        <w:rPr>
          <w:sz w:val="24"/>
          <w:szCs w:val="24"/>
        </w:rPr>
      </w:pPr>
      <w:r>
        <w:rPr>
          <w:sz w:val="24"/>
          <w:szCs w:val="24"/>
        </w:rPr>
        <w:t>в дію Указом Президента України</w:t>
      </w:r>
    </w:p>
    <w:p w:rsidR="001711FE" w:rsidRPr="00182C71" w:rsidRDefault="00182C71" w:rsidP="0072309A">
      <w:pPr>
        <w:ind w:left="4395"/>
        <w:jc w:val="both"/>
        <w:rPr>
          <w:sz w:val="24"/>
          <w:szCs w:val="24"/>
        </w:rPr>
      </w:pPr>
      <w:r>
        <w:rPr>
          <w:sz w:val="24"/>
          <w:szCs w:val="24"/>
        </w:rPr>
        <w:t xml:space="preserve">       </w:t>
      </w:r>
      <w:r w:rsidR="001711FE">
        <w:rPr>
          <w:sz w:val="24"/>
          <w:szCs w:val="24"/>
        </w:rPr>
        <w:t xml:space="preserve">від </w:t>
      </w:r>
      <w:r w:rsidRPr="00182C71">
        <w:rPr>
          <w:rFonts w:eastAsia="Calibri" w:cs="Times New Roman"/>
          <w:color w:val="auto"/>
          <w:sz w:val="24"/>
          <w:szCs w:val="24"/>
        </w:rPr>
        <w:t>29 червня 2026 року № 561/2026</w:t>
      </w:r>
    </w:p>
    <w:p w:rsidR="00337294" w:rsidRDefault="00337294" w:rsidP="00337294">
      <w:pPr>
        <w:ind w:firstLine="709"/>
        <w:jc w:val="both"/>
        <w:rPr>
          <w:rFonts w:cs="Times New Roman"/>
          <w:szCs w:val="28"/>
          <w:highlight w:val="yellow"/>
          <w:shd w:val="clear" w:color="auto" w:fill="FFFFFF"/>
          <w:lang w:val="ru-RU"/>
        </w:rPr>
      </w:pPr>
    </w:p>
    <w:p w:rsidR="00337294" w:rsidRPr="00367B30" w:rsidRDefault="00337294" w:rsidP="00337294">
      <w:pPr>
        <w:ind w:firstLine="709"/>
        <w:jc w:val="both"/>
        <w:rPr>
          <w:rFonts w:cs="Times New Roman"/>
          <w:szCs w:val="28"/>
          <w:highlight w:val="yellow"/>
          <w:shd w:val="clear" w:color="auto" w:fill="FFFFFF"/>
          <w:lang w:val="ru-RU"/>
        </w:rPr>
      </w:pPr>
    </w:p>
    <w:p w:rsidR="00337294" w:rsidRPr="00CB6F16" w:rsidRDefault="00337294" w:rsidP="00CB6F16">
      <w:pPr>
        <w:jc w:val="center"/>
        <w:rPr>
          <w:rFonts w:cs="Times New Roman"/>
          <w:b/>
          <w:bCs/>
          <w:caps/>
          <w:szCs w:val="28"/>
        </w:rPr>
      </w:pPr>
      <w:r w:rsidRPr="00CB6F16">
        <w:rPr>
          <w:rFonts w:cs="Times New Roman"/>
          <w:b/>
          <w:bCs/>
          <w:caps/>
          <w:szCs w:val="28"/>
        </w:rPr>
        <w:t xml:space="preserve">зміни </w:t>
      </w:r>
    </w:p>
    <w:p w:rsidR="00337294" w:rsidRPr="00CB6F16" w:rsidRDefault="00CB6F16" w:rsidP="00CB6F16">
      <w:pPr>
        <w:jc w:val="center"/>
        <w:rPr>
          <w:rFonts w:cs="Times New Roman"/>
          <w:b/>
          <w:bCs/>
          <w:szCs w:val="28"/>
        </w:rPr>
      </w:pPr>
      <w:r w:rsidRPr="00CB6F16">
        <w:rPr>
          <w:rFonts w:cs="Times New Roman"/>
          <w:b/>
          <w:color w:val="auto"/>
          <w:szCs w:val="28"/>
        </w:rPr>
        <w:t xml:space="preserve">до рішення Ради національної безпеки і оборони України </w:t>
      </w:r>
      <w:r>
        <w:rPr>
          <w:rFonts w:cs="Times New Roman"/>
          <w:b/>
          <w:color w:val="auto"/>
          <w:szCs w:val="28"/>
        </w:rPr>
        <w:br/>
      </w:r>
      <w:r w:rsidRPr="00CB6F16">
        <w:rPr>
          <w:rFonts w:cs="Times New Roman"/>
          <w:b/>
          <w:color w:val="auto"/>
          <w:szCs w:val="28"/>
        </w:rPr>
        <w:t xml:space="preserve">від 22 лютого 2023 року "Про застосування секторальних спеціальних економічних та інших обмежувальних заходів (санкцій) до фінансових установ Російської Федерації", </w:t>
      </w:r>
      <w:r w:rsidR="008717D8">
        <w:rPr>
          <w:rFonts w:cs="Times New Roman"/>
          <w:b/>
          <w:color w:val="auto"/>
          <w:szCs w:val="28"/>
          <w:lang w:eastAsia="ru-RU"/>
        </w:rPr>
        <w:t>в</w:t>
      </w:r>
      <w:r w:rsidRPr="00CB6F16">
        <w:rPr>
          <w:rFonts w:cs="Times New Roman"/>
          <w:b/>
          <w:color w:val="auto"/>
          <w:szCs w:val="28"/>
          <w:lang w:eastAsia="ru-RU"/>
        </w:rPr>
        <w:t xml:space="preserve">веденого в дію Указом Президента </w:t>
      </w:r>
      <w:r w:rsidRPr="00CB6F16">
        <w:rPr>
          <w:rFonts w:cs="Times New Roman"/>
          <w:b/>
          <w:color w:val="auto"/>
          <w:szCs w:val="28"/>
          <w:lang w:eastAsia="ru-RU"/>
        </w:rPr>
        <w:br/>
        <w:t xml:space="preserve">України від </w:t>
      </w:r>
      <w:r w:rsidRPr="00CB6F16">
        <w:rPr>
          <w:rFonts w:eastAsia="Calibri" w:cs="Times New Roman"/>
          <w:b/>
          <w:bCs/>
          <w:color w:val="auto"/>
          <w:szCs w:val="28"/>
        </w:rPr>
        <w:t>22 лютого 2023 року № 89/2023 та затвердженого Постановою Верховної Ради України від 23 лютого 2023 року № 2924-ІХ</w:t>
      </w:r>
    </w:p>
    <w:p w:rsidR="00337294" w:rsidRPr="00CB6F16" w:rsidRDefault="00337294" w:rsidP="00CB6F16">
      <w:pPr>
        <w:jc w:val="center"/>
        <w:rPr>
          <w:rFonts w:cs="Times New Roman"/>
          <w:b/>
          <w:szCs w:val="28"/>
        </w:rPr>
      </w:pPr>
    </w:p>
    <w:p w:rsidR="00337294" w:rsidRPr="008E3E7B" w:rsidRDefault="00337294" w:rsidP="00337294">
      <w:pPr>
        <w:spacing w:line="264" w:lineRule="auto"/>
        <w:jc w:val="center"/>
        <w:rPr>
          <w:rFonts w:cs="Times New Roman"/>
          <w:caps/>
          <w:sz w:val="24"/>
          <w:szCs w:val="24"/>
        </w:rPr>
      </w:pPr>
    </w:p>
    <w:p w:rsidR="00337294" w:rsidRDefault="00337294" w:rsidP="00337294">
      <w:pPr>
        <w:ind w:firstLine="709"/>
        <w:jc w:val="both"/>
        <w:rPr>
          <w:rFonts w:cs="Times New Roman"/>
          <w:szCs w:val="28"/>
        </w:rPr>
      </w:pPr>
      <w:r w:rsidRPr="006F4DA3">
        <w:rPr>
          <w:rFonts w:cs="Times New Roman"/>
          <w:szCs w:val="28"/>
        </w:rPr>
        <w:t>1</w:t>
      </w:r>
      <w:r>
        <w:rPr>
          <w:rFonts w:cs="Times New Roman"/>
          <w:szCs w:val="28"/>
        </w:rPr>
        <w:t>.</w:t>
      </w:r>
      <w:r w:rsidRPr="006F4DA3">
        <w:rPr>
          <w:rFonts w:cs="Times New Roman"/>
          <w:szCs w:val="28"/>
        </w:rPr>
        <w:t xml:space="preserve"> </w:t>
      </w:r>
      <w:r>
        <w:rPr>
          <w:rFonts w:cs="Times New Roman"/>
          <w:szCs w:val="28"/>
        </w:rPr>
        <w:t>У пункті 2:</w:t>
      </w:r>
    </w:p>
    <w:p w:rsidR="00337294" w:rsidRDefault="00337294" w:rsidP="00FF19B4">
      <w:pPr>
        <w:spacing w:before="120"/>
        <w:ind w:firstLine="709"/>
        <w:jc w:val="both"/>
        <w:rPr>
          <w:rFonts w:cs="Times New Roman"/>
          <w:szCs w:val="28"/>
          <w:shd w:val="clear" w:color="auto" w:fill="FFFFFF"/>
        </w:rPr>
      </w:pPr>
      <w:r>
        <w:rPr>
          <w:rFonts w:cs="Times New Roman"/>
          <w:szCs w:val="28"/>
          <w:shd w:val="clear" w:color="auto" w:fill="FFFFFF"/>
        </w:rPr>
        <w:t>а</w:t>
      </w:r>
      <w:r w:rsidRPr="00783A99">
        <w:rPr>
          <w:rFonts w:cs="Times New Roman"/>
          <w:szCs w:val="28"/>
          <w:shd w:val="clear" w:color="auto" w:fill="FFFFFF"/>
        </w:rPr>
        <w:t>бзац перший</w:t>
      </w:r>
      <w:r>
        <w:rPr>
          <w:rFonts w:cs="Times New Roman"/>
          <w:szCs w:val="28"/>
          <w:shd w:val="clear" w:color="auto" w:fill="FFFFFF"/>
        </w:rPr>
        <w:t xml:space="preserve"> викласти у такій редакції:</w:t>
      </w:r>
    </w:p>
    <w:p w:rsidR="00337294" w:rsidRDefault="00337294" w:rsidP="00FF19B4">
      <w:pPr>
        <w:spacing w:before="120"/>
        <w:ind w:firstLine="709"/>
        <w:jc w:val="both"/>
        <w:rPr>
          <w:rFonts w:cs="Times New Roman"/>
          <w:szCs w:val="28"/>
          <w:shd w:val="clear" w:color="auto" w:fill="FFFFFF"/>
        </w:rPr>
      </w:pPr>
      <w:r w:rsidRPr="009D07AE">
        <w:rPr>
          <w:rFonts w:cs="Times New Roman"/>
          <w:szCs w:val="28"/>
          <w:shd w:val="clear" w:color="auto" w:fill="FFFFFF"/>
        </w:rPr>
        <w:t>"</w:t>
      </w:r>
      <w:r>
        <w:rPr>
          <w:rFonts w:cs="Times New Roman"/>
          <w:szCs w:val="28"/>
          <w:shd w:val="clear" w:color="auto" w:fill="FFFFFF"/>
        </w:rPr>
        <w:t>2. Застосувати строком на 50 років секторальні спеціальні економічні та інші обмежувальні заходи (санкції) до всіх банків, що зареєстровані</w:t>
      </w:r>
      <w:r w:rsidR="00BB69D3">
        <w:rPr>
          <w:rFonts w:cs="Times New Roman"/>
          <w:szCs w:val="28"/>
          <w:shd w:val="clear" w:color="auto" w:fill="FFFFFF"/>
        </w:rPr>
        <w:t xml:space="preserve"> </w:t>
      </w:r>
      <w:r>
        <w:rPr>
          <w:rFonts w:cs="Times New Roman"/>
          <w:szCs w:val="28"/>
          <w:shd w:val="clear" w:color="auto" w:fill="FFFFFF"/>
        </w:rPr>
        <w:t>/ мають місцезнаходження в Російській Федерації, в тому числі центрального банку Російської Федерації, небанківських кредитних організацій, операторів</w:t>
      </w:r>
      <w:r>
        <w:rPr>
          <w:rFonts w:cs="Times New Roman"/>
          <w:caps/>
          <w:szCs w:val="28"/>
          <w:shd w:val="clear" w:color="auto" w:fill="FFFFFF"/>
        </w:rPr>
        <w:t xml:space="preserve"> </w:t>
      </w:r>
      <w:r>
        <w:rPr>
          <w:rFonts w:cs="Times New Roman"/>
          <w:szCs w:val="28"/>
          <w:shd w:val="clear" w:color="auto" w:fill="FFFFFF"/>
        </w:rPr>
        <w:t xml:space="preserve">платіжних систем, операторів інформаційних систем, в яких здійснюється випуск цифрових фінансових активів, операторів інвестиційних платформ, операторів фінансових платформ, операторів обміну цифрових фінансових активів, клірингових організацій, професійних учасників фондового ринку, страхових компаній, інвестиційних фондів та інших установ, що </w:t>
      </w:r>
      <w:r w:rsidR="00AC3300">
        <w:rPr>
          <w:rFonts w:cs="Times New Roman"/>
          <w:szCs w:val="28"/>
          <w:shd w:val="clear" w:color="auto" w:fill="FFFFFF"/>
        </w:rPr>
        <w:t xml:space="preserve">  </w:t>
      </w:r>
      <w:r>
        <w:rPr>
          <w:rFonts w:cs="Times New Roman"/>
          <w:szCs w:val="28"/>
          <w:shd w:val="clear" w:color="auto" w:fill="FFFFFF"/>
        </w:rPr>
        <w:t>зареєстровані / мають місцезнаходження в Російській Федерації, які надають фінансові послуги та/або які є постачальниками інфраструктури фінансових послуг</w:t>
      </w:r>
      <w:r w:rsidRPr="009D07AE">
        <w:rPr>
          <w:rFonts w:cs="Times New Roman"/>
          <w:szCs w:val="28"/>
          <w:shd w:val="clear" w:color="auto" w:fill="FFFFFF"/>
        </w:rPr>
        <w:t xml:space="preserve"> </w:t>
      </w:r>
      <w:r>
        <w:rPr>
          <w:rFonts w:cs="Times New Roman"/>
          <w:szCs w:val="28"/>
          <w:shd w:val="clear" w:color="auto" w:fill="FFFFFF"/>
        </w:rPr>
        <w:t>(далі – фінансові установи Російської Федерації):</w:t>
      </w:r>
      <w:r w:rsidRPr="009D07AE">
        <w:rPr>
          <w:rFonts w:cs="Times New Roman"/>
          <w:szCs w:val="28"/>
          <w:shd w:val="clear" w:color="auto" w:fill="FFFFFF"/>
        </w:rPr>
        <w:t>"</w:t>
      </w:r>
      <w:r>
        <w:rPr>
          <w:rFonts w:cs="Times New Roman"/>
          <w:szCs w:val="28"/>
          <w:shd w:val="clear" w:color="auto" w:fill="FFFFFF"/>
        </w:rPr>
        <w:t>;</w:t>
      </w:r>
    </w:p>
    <w:p w:rsidR="00337294" w:rsidRDefault="00337294" w:rsidP="00FF19B4">
      <w:pPr>
        <w:tabs>
          <w:tab w:val="left" w:pos="1134"/>
        </w:tabs>
        <w:spacing w:before="120"/>
        <w:ind w:firstLine="709"/>
        <w:jc w:val="both"/>
        <w:rPr>
          <w:rFonts w:cs="Times New Roman"/>
          <w:szCs w:val="28"/>
          <w:shd w:val="clear" w:color="auto" w:fill="FFFFFF"/>
        </w:rPr>
      </w:pPr>
      <w:r>
        <w:rPr>
          <w:rFonts w:cs="Times New Roman"/>
          <w:szCs w:val="28"/>
          <w:shd w:val="clear" w:color="auto" w:fill="FFFFFF"/>
        </w:rPr>
        <w:t>доповнити підпунктами 11 – 13 такого змісту:</w:t>
      </w:r>
    </w:p>
    <w:p w:rsidR="00CB16D2" w:rsidRPr="0073114E" w:rsidRDefault="00CB16D2" w:rsidP="00FF19B4">
      <w:pPr>
        <w:autoSpaceDE w:val="0"/>
        <w:autoSpaceDN w:val="0"/>
        <w:adjustRightInd w:val="0"/>
        <w:spacing w:before="120"/>
        <w:ind w:firstLine="709"/>
        <w:jc w:val="both"/>
        <w:rPr>
          <w:rFonts w:cs="Times New Roman"/>
          <w:szCs w:val="28"/>
          <w:shd w:val="clear" w:color="auto" w:fill="FFFFFF"/>
        </w:rPr>
      </w:pPr>
      <w:r w:rsidRPr="009D07AE">
        <w:rPr>
          <w:rFonts w:cs="Times New Roman"/>
          <w:szCs w:val="28"/>
          <w:shd w:val="clear" w:color="auto" w:fill="FFFFFF"/>
        </w:rPr>
        <w:t>"</w:t>
      </w:r>
      <w:r w:rsidRPr="00783A99">
        <w:rPr>
          <w:rFonts w:cs="Times New Roman"/>
          <w:szCs w:val="28"/>
          <w:shd w:val="clear" w:color="auto" w:fill="FFFFFF"/>
        </w:rPr>
        <w:t xml:space="preserve">11) </w:t>
      </w:r>
      <w:r w:rsidRPr="0073114E">
        <w:rPr>
          <w:rFonts w:cs="Times New Roman"/>
          <w:szCs w:val="28"/>
        </w:rPr>
        <w:t>заборона використання платформ, сервісів, програмних продуктів фінансових установ Російської Федерації, які здійснюють операції з переказу, купівлі, продажу, обміну, зберігання, адміністрування та/або надають інші послуги, пов’язані з обігом фінансових та/або віртуальних активів</w:t>
      </w:r>
      <w:r w:rsidRPr="0073114E">
        <w:rPr>
          <w:rFonts w:cs="Times New Roman"/>
          <w:szCs w:val="28"/>
          <w:shd w:val="clear" w:color="auto" w:fill="FFFFFF"/>
        </w:rPr>
        <w:t>;</w:t>
      </w:r>
    </w:p>
    <w:p w:rsidR="00CB16D2" w:rsidRPr="0073114E" w:rsidRDefault="00CB16D2" w:rsidP="00FF19B4">
      <w:pPr>
        <w:autoSpaceDE w:val="0"/>
        <w:autoSpaceDN w:val="0"/>
        <w:adjustRightInd w:val="0"/>
        <w:spacing w:before="120"/>
        <w:ind w:firstLine="709"/>
        <w:jc w:val="both"/>
        <w:rPr>
          <w:rFonts w:cs="Times New Roman"/>
          <w:szCs w:val="28"/>
          <w:shd w:val="clear" w:color="auto" w:fill="FFFFFF"/>
        </w:rPr>
      </w:pPr>
      <w:r w:rsidRPr="00783A99">
        <w:rPr>
          <w:rFonts w:cs="Times New Roman"/>
          <w:szCs w:val="28"/>
          <w:shd w:val="clear" w:color="auto" w:fill="FFFFFF"/>
        </w:rPr>
        <w:t xml:space="preserve">12) </w:t>
      </w:r>
      <w:r w:rsidRPr="0073114E">
        <w:rPr>
          <w:rFonts w:cs="Times New Roman"/>
          <w:szCs w:val="28"/>
        </w:rPr>
        <w:t>заборона здійснення операцій з віртуальними активами, емітованими (випущеними) фінансовими установами Російської Федерації, віртуальними активами, забезпеченими російським рублем,</w:t>
      </w:r>
      <w:r w:rsidR="00744781">
        <w:rPr>
          <w:rFonts w:cs="Times New Roman"/>
          <w:color w:val="0A0A0A"/>
          <w:szCs w:val="28"/>
          <w:shd w:val="clear" w:color="auto" w:fill="FFFFFF"/>
        </w:rPr>
        <w:t xml:space="preserve"> </w:t>
      </w:r>
      <w:r w:rsidRPr="0073114E">
        <w:rPr>
          <w:rFonts w:cs="Times New Roman"/>
          <w:szCs w:val="28"/>
        </w:rPr>
        <w:t>та/або з рахунками</w:t>
      </w:r>
      <w:r w:rsidR="00744781">
        <w:rPr>
          <w:rFonts w:cs="Times New Roman"/>
          <w:szCs w:val="28"/>
        </w:rPr>
        <w:t xml:space="preserve"> </w:t>
      </w:r>
      <w:r w:rsidRPr="0073114E">
        <w:rPr>
          <w:rFonts w:cs="Times New Roman"/>
          <w:szCs w:val="28"/>
        </w:rPr>
        <w:t>/</w:t>
      </w:r>
      <w:r w:rsidR="00744781">
        <w:rPr>
          <w:rFonts w:cs="Times New Roman"/>
          <w:szCs w:val="28"/>
        </w:rPr>
        <w:t xml:space="preserve"> </w:t>
      </w:r>
      <w:r w:rsidRPr="0073114E">
        <w:rPr>
          <w:rFonts w:cs="Times New Roman"/>
          <w:szCs w:val="28"/>
        </w:rPr>
        <w:t>гаманцями віртуальних активів, на яких зберігаються такі активи</w:t>
      </w:r>
      <w:r w:rsidRPr="0073114E">
        <w:rPr>
          <w:rFonts w:cs="Times New Roman"/>
          <w:szCs w:val="28"/>
          <w:shd w:val="clear" w:color="auto" w:fill="FFFFFF"/>
        </w:rPr>
        <w:t>;</w:t>
      </w:r>
    </w:p>
    <w:p w:rsidR="00337294" w:rsidRPr="00783A99" w:rsidRDefault="00CB16D2" w:rsidP="00FF19B4">
      <w:pPr>
        <w:autoSpaceDE w:val="0"/>
        <w:autoSpaceDN w:val="0"/>
        <w:adjustRightInd w:val="0"/>
        <w:spacing w:before="120"/>
        <w:ind w:firstLine="709"/>
        <w:jc w:val="both"/>
        <w:rPr>
          <w:rFonts w:cs="Times New Roman"/>
          <w:szCs w:val="28"/>
          <w:shd w:val="clear" w:color="auto" w:fill="FFFFFF"/>
        </w:rPr>
      </w:pPr>
      <w:r w:rsidRPr="00783A99">
        <w:rPr>
          <w:rFonts w:cs="Times New Roman"/>
          <w:szCs w:val="28"/>
          <w:shd w:val="clear" w:color="auto" w:fill="FFFFFF"/>
        </w:rPr>
        <w:lastRenderedPageBreak/>
        <w:t xml:space="preserve">13) </w:t>
      </w:r>
      <w:r w:rsidRPr="0073114E">
        <w:rPr>
          <w:rFonts w:cs="Times New Roman"/>
          <w:szCs w:val="28"/>
          <w:shd w:val="clear" w:color="auto" w:fill="FFFFFF"/>
        </w:rPr>
        <w:t xml:space="preserve">заборона здійснення операцій із </w:t>
      </w:r>
      <w:r w:rsidRPr="0073114E">
        <w:rPr>
          <w:rFonts w:cs="Times New Roman"/>
          <w:szCs w:val="28"/>
        </w:rPr>
        <w:t xml:space="preserve">постачальниками інфраструктури фінансових послуг (незалежно від країни їх реєстрації / місцезнаходження), </w:t>
      </w:r>
      <w:r w:rsidR="00F859C3">
        <w:rPr>
          <w:rFonts w:cs="Times New Roman"/>
          <w:szCs w:val="28"/>
        </w:rPr>
        <w:t xml:space="preserve"> </w:t>
      </w:r>
      <w:r w:rsidRPr="0073114E">
        <w:rPr>
          <w:rFonts w:cs="Times New Roman"/>
          <w:szCs w:val="28"/>
        </w:rPr>
        <w:t>які забезпечують проведення операцій із віртуальними активами, емітованими (випущеними) фінансовими установами Російської Федерації / віртуальними активами, забезпеченими російським рублем</w:t>
      </w:r>
      <w:r w:rsidRPr="0073114E">
        <w:rPr>
          <w:rFonts w:cs="Times New Roman"/>
          <w:color w:val="333333"/>
          <w:szCs w:val="28"/>
          <w:shd w:val="clear" w:color="auto" w:fill="FFFFFF"/>
        </w:rPr>
        <w:t>.</w:t>
      </w:r>
      <w:r w:rsidRPr="0073114E">
        <w:rPr>
          <w:rFonts w:cs="Times New Roman"/>
          <w:szCs w:val="28"/>
          <w:shd w:val="clear" w:color="auto" w:fill="FFFFFF"/>
        </w:rPr>
        <w:t>"</w:t>
      </w:r>
      <w:r w:rsidR="00744781">
        <w:rPr>
          <w:rFonts w:cs="Times New Roman"/>
          <w:szCs w:val="28"/>
          <w:shd w:val="clear" w:color="auto" w:fill="FFFFFF"/>
        </w:rPr>
        <w:t>.</w:t>
      </w:r>
    </w:p>
    <w:p w:rsidR="00337294" w:rsidRPr="00783A99" w:rsidRDefault="00337294" w:rsidP="00337294">
      <w:pPr>
        <w:tabs>
          <w:tab w:val="left" w:pos="1134"/>
        </w:tabs>
        <w:ind w:firstLine="709"/>
        <w:jc w:val="both"/>
        <w:rPr>
          <w:rFonts w:cs="Times New Roman"/>
          <w:szCs w:val="28"/>
          <w:shd w:val="clear" w:color="auto" w:fill="FFFFFF"/>
        </w:rPr>
      </w:pPr>
    </w:p>
    <w:p w:rsidR="00337294" w:rsidRDefault="00337294" w:rsidP="00337294">
      <w:pPr>
        <w:tabs>
          <w:tab w:val="left" w:pos="993"/>
        </w:tabs>
        <w:ind w:firstLine="709"/>
        <w:jc w:val="both"/>
        <w:rPr>
          <w:rFonts w:cs="Times New Roman"/>
          <w:szCs w:val="28"/>
          <w:shd w:val="clear" w:color="auto" w:fill="FFFFFF"/>
        </w:rPr>
      </w:pPr>
      <w:r>
        <w:rPr>
          <w:rFonts w:cs="Times New Roman"/>
          <w:szCs w:val="28"/>
          <w:shd w:val="clear" w:color="auto" w:fill="FFFFFF"/>
        </w:rPr>
        <w:t>2. Доповнити рішення пунктом 3</w:t>
      </w:r>
      <w:r>
        <w:rPr>
          <w:rFonts w:cs="Times New Roman"/>
          <w:szCs w:val="28"/>
          <w:shd w:val="clear" w:color="auto" w:fill="FFFFFF"/>
          <w:vertAlign w:val="superscript"/>
        </w:rPr>
        <w:t xml:space="preserve">1 </w:t>
      </w:r>
      <w:r>
        <w:rPr>
          <w:rFonts w:cs="Times New Roman"/>
          <w:szCs w:val="28"/>
          <w:shd w:val="clear" w:color="auto" w:fill="FFFFFF"/>
        </w:rPr>
        <w:t>такого змісту</w:t>
      </w:r>
      <w:r w:rsidRPr="00783A99">
        <w:rPr>
          <w:rFonts w:cs="Times New Roman"/>
          <w:szCs w:val="28"/>
          <w:shd w:val="clear" w:color="auto" w:fill="FFFFFF"/>
        </w:rPr>
        <w:t xml:space="preserve">: </w:t>
      </w:r>
    </w:p>
    <w:p w:rsidR="00337294" w:rsidRDefault="00337294" w:rsidP="00FF19B4">
      <w:pPr>
        <w:tabs>
          <w:tab w:val="left" w:pos="993"/>
        </w:tabs>
        <w:spacing w:before="120"/>
        <w:ind w:firstLine="709"/>
        <w:jc w:val="both"/>
        <w:rPr>
          <w:rFonts w:cs="Times New Roman"/>
          <w:szCs w:val="28"/>
          <w:shd w:val="clear" w:color="auto" w:fill="FFFFFF"/>
        </w:rPr>
      </w:pPr>
      <w:r w:rsidRPr="009D07AE">
        <w:rPr>
          <w:rFonts w:cs="Times New Roman"/>
          <w:szCs w:val="28"/>
          <w:shd w:val="clear" w:color="auto" w:fill="FFFFFF"/>
        </w:rPr>
        <w:t>"</w:t>
      </w:r>
      <w:r>
        <w:rPr>
          <w:rFonts w:cs="Times New Roman"/>
          <w:szCs w:val="28"/>
          <w:shd w:val="clear" w:color="auto" w:fill="FFFFFF"/>
        </w:rPr>
        <w:t>3</w:t>
      </w:r>
      <w:r>
        <w:rPr>
          <w:rFonts w:cs="Times New Roman"/>
          <w:szCs w:val="28"/>
          <w:shd w:val="clear" w:color="auto" w:fill="FFFFFF"/>
          <w:vertAlign w:val="superscript"/>
        </w:rPr>
        <w:t>1</w:t>
      </w:r>
      <w:r>
        <w:rPr>
          <w:rFonts w:cs="Times New Roman"/>
          <w:szCs w:val="28"/>
          <w:shd w:val="clear" w:color="auto" w:fill="FFFFFF"/>
        </w:rPr>
        <w:t xml:space="preserve">. Під постачальниками інфраструктури фінансових послуг для цілей застосування та реалізації цих секторальних </w:t>
      </w:r>
      <w:r w:rsidRPr="00D8734A">
        <w:rPr>
          <w:rFonts w:cs="Times New Roman"/>
          <w:szCs w:val="28"/>
          <w:shd w:val="clear" w:color="auto" w:fill="FFFFFF"/>
        </w:rPr>
        <w:t xml:space="preserve">спеціальних економічних та інших обмежувальних заходів (санкцій) </w:t>
      </w:r>
      <w:r>
        <w:rPr>
          <w:rFonts w:cs="Times New Roman"/>
          <w:szCs w:val="28"/>
          <w:shd w:val="clear" w:color="auto" w:fill="FFFFFF"/>
        </w:rPr>
        <w:t xml:space="preserve">слід розуміти </w:t>
      </w:r>
      <w:r w:rsidRPr="00D8734A">
        <w:rPr>
          <w:rFonts w:cs="Times New Roman"/>
          <w:szCs w:val="28"/>
          <w:shd w:val="clear" w:color="auto" w:fill="FFFFFF"/>
        </w:rPr>
        <w:t>суб’єк</w:t>
      </w:r>
      <w:r w:rsidRPr="00EA20C9">
        <w:rPr>
          <w:rFonts w:cs="Times New Roman"/>
          <w:color w:val="auto"/>
          <w:szCs w:val="28"/>
        </w:rPr>
        <w:t>тів, які визначають правила роботи систем, платформ, сервісів та/або програмних продуктів, за допомогою яких здійснюється надання фінансових та/або інших супровідних послуг (уключаючи випуск, переказ, купівлю, продаж, обмін, зберігання, адміністрування фінанс</w:t>
      </w:r>
      <w:r>
        <w:rPr>
          <w:rFonts w:cs="Times New Roman"/>
          <w:color w:val="auto"/>
          <w:szCs w:val="28"/>
        </w:rPr>
        <w:t>ових та/або віртуальних активів)</w:t>
      </w:r>
      <w:r w:rsidRPr="00EA20C9">
        <w:rPr>
          <w:rFonts w:cs="Times New Roman"/>
          <w:color w:val="auto"/>
          <w:szCs w:val="28"/>
        </w:rPr>
        <w:t xml:space="preserve">, та/або </w:t>
      </w:r>
      <w:r w:rsidR="00F859C3">
        <w:rPr>
          <w:rFonts w:cs="Times New Roman"/>
          <w:color w:val="auto"/>
          <w:szCs w:val="28"/>
        </w:rPr>
        <w:t xml:space="preserve"> </w:t>
      </w:r>
      <w:r w:rsidRPr="00EA20C9">
        <w:rPr>
          <w:rFonts w:cs="Times New Roman"/>
          <w:color w:val="auto"/>
          <w:szCs w:val="28"/>
        </w:rPr>
        <w:t>які виконують операційні, інформаційні та інші технологічні функції для забезпечення функціонування таких систем, платформ, сервісів та/або програмних продуктів.</w:t>
      </w:r>
      <w:r w:rsidRPr="009D07AE">
        <w:rPr>
          <w:rFonts w:cs="Times New Roman"/>
          <w:szCs w:val="28"/>
          <w:shd w:val="clear" w:color="auto" w:fill="FFFFFF"/>
        </w:rPr>
        <w:t>"</w:t>
      </w:r>
      <w:r w:rsidR="00744781">
        <w:rPr>
          <w:rFonts w:cs="Times New Roman"/>
          <w:szCs w:val="28"/>
          <w:shd w:val="clear" w:color="auto" w:fill="FFFFFF"/>
        </w:rPr>
        <w:t>.</w:t>
      </w:r>
    </w:p>
    <w:p w:rsidR="009B7908" w:rsidRPr="008E3E7B" w:rsidRDefault="009B7908" w:rsidP="00337294">
      <w:pPr>
        <w:spacing w:before="120"/>
        <w:rPr>
          <w:szCs w:val="28"/>
        </w:rPr>
      </w:pPr>
    </w:p>
    <w:p w:rsidR="00F21AFA" w:rsidRDefault="00337294" w:rsidP="00CB16D2">
      <w:pPr>
        <w:jc w:val="center"/>
      </w:pPr>
      <w:r>
        <w:t>______________________</w:t>
      </w:r>
    </w:p>
    <w:sectPr w:rsidR="00F21AFA" w:rsidSect="00BB69D3">
      <w:headerReference w:type="default" r:id="rId6"/>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1C" w:rsidRDefault="003F6B1C">
      <w:r>
        <w:separator/>
      </w:r>
    </w:p>
  </w:endnote>
  <w:endnote w:type="continuationSeparator" w:id="0">
    <w:p w:rsidR="003F6B1C" w:rsidRDefault="003F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1C" w:rsidRDefault="003F6B1C">
      <w:r>
        <w:separator/>
      </w:r>
    </w:p>
  </w:footnote>
  <w:footnote w:type="continuationSeparator" w:id="0">
    <w:p w:rsidR="003F6B1C" w:rsidRDefault="003F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EB" w:rsidRPr="009D1307" w:rsidRDefault="002E2FEB">
    <w:pPr>
      <w:pStyle w:val="a4"/>
      <w:jc w:val="center"/>
      <w:rPr>
        <w:color w:val="auto"/>
        <w:szCs w:val="28"/>
      </w:rPr>
    </w:pPr>
    <w:r w:rsidRPr="009D1307">
      <w:rPr>
        <w:color w:val="auto"/>
        <w:szCs w:val="28"/>
      </w:rPr>
      <w:fldChar w:fldCharType="begin"/>
    </w:r>
    <w:r w:rsidRPr="009D1307">
      <w:rPr>
        <w:color w:val="auto"/>
        <w:szCs w:val="28"/>
      </w:rPr>
      <w:instrText>PAGE   \* MERGEFORMAT</w:instrText>
    </w:r>
    <w:r w:rsidRPr="009D1307">
      <w:rPr>
        <w:color w:val="auto"/>
        <w:szCs w:val="28"/>
      </w:rPr>
      <w:fldChar w:fldCharType="separate"/>
    </w:r>
    <w:r w:rsidR="00E32082" w:rsidRPr="00E32082">
      <w:rPr>
        <w:noProof/>
        <w:color w:val="auto"/>
        <w:szCs w:val="28"/>
        <w:lang w:val="ru-RU"/>
      </w:rPr>
      <w:t>2</w:t>
    </w:r>
    <w:r w:rsidRPr="009D1307">
      <w:rPr>
        <w:color w:val="auto"/>
        <w:szCs w:val="28"/>
      </w:rPr>
      <w:fldChar w:fldCharType="end"/>
    </w:r>
  </w:p>
  <w:p w:rsidR="002E2FEB" w:rsidRDefault="002E2F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63"/>
    <w:rsid w:val="00070C60"/>
    <w:rsid w:val="001711FE"/>
    <w:rsid w:val="00182C71"/>
    <w:rsid w:val="002E2FEB"/>
    <w:rsid w:val="00327EEF"/>
    <w:rsid w:val="00337294"/>
    <w:rsid w:val="00344173"/>
    <w:rsid w:val="003F1C1C"/>
    <w:rsid w:val="003F6B1C"/>
    <w:rsid w:val="005B0EB7"/>
    <w:rsid w:val="0072309A"/>
    <w:rsid w:val="00744781"/>
    <w:rsid w:val="007A7297"/>
    <w:rsid w:val="008717D8"/>
    <w:rsid w:val="008B15D4"/>
    <w:rsid w:val="00960AAC"/>
    <w:rsid w:val="009B7908"/>
    <w:rsid w:val="00AC3300"/>
    <w:rsid w:val="00BB69D3"/>
    <w:rsid w:val="00BC1B35"/>
    <w:rsid w:val="00C56B04"/>
    <w:rsid w:val="00C86D63"/>
    <w:rsid w:val="00CB16D2"/>
    <w:rsid w:val="00CB6F16"/>
    <w:rsid w:val="00E32082"/>
    <w:rsid w:val="00F17C36"/>
    <w:rsid w:val="00F21AFA"/>
    <w:rsid w:val="00F859C3"/>
    <w:rsid w:val="00FF19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294"/>
    <w:pPr>
      <w:spacing w:after="0" w:line="240" w:lineRule="auto"/>
    </w:pPr>
    <w:rPr>
      <w:rFonts w:ascii="Times New Roman" w:eastAsia="Times New Roman" w:hAnsi="Times New Roman" w:cs="SchoolBook"/>
      <w:color w:val="000000"/>
      <w:sz w:val="28"/>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294"/>
    <w:pPr>
      <w:spacing w:after="200" w:line="276" w:lineRule="auto"/>
      <w:ind w:left="720"/>
      <w:contextualSpacing/>
    </w:pPr>
    <w:rPr>
      <w:rFonts w:ascii="Calibri" w:eastAsia="Calibri" w:hAnsi="Calibri" w:cs="Times New Roman"/>
      <w:sz w:val="22"/>
      <w:szCs w:val="22"/>
      <w:lang w:eastAsia="en-US"/>
    </w:rPr>
  </w:style>
  <w:style w:type="paragraph" w:styleId="a4">
    <w:name w:val="header"/>
    <w:basedOn w:val="a"/>
    <w:link w:val="a5"/>
    <w:uiPriority w:val="99"/>
    <w:unhideWhenUsed/>
    <w:rsid w:val="00337294"/>
    <w:pPr>
      <w:tabs>
        <w:tab w:val="center" w:pos="4677"/>
        <w:tab w:val="right" w:pos="9355"/>
      </w:tabs>
    </w:pPr>
  </w:style>
  <w:style w:type="character" w:customStyle="1" w:styleId="a5">
    <w:name w:val="Верхній колонтитул Знак"/>
    <w:basedOn w:val="a0"/>
    <w:link w:val="a4"/>
    <w:uiPriority w:val="99"/>
    <w:rsid w:val="00337294"/>
    <w:rPr>
      <w:rFonts w:ascii="Times New Roman" w:eastAsia="Times New Roman" w:hAnsi="Times New Roman" w:cs="SchoolBook"/>
      <w:color w:val="000000"/>
      <w:sz w:val="28"/>
      <w:szCs w:val="26"/>
      <w:lang w:eastAsia="uk-UA"/>
    </w:rPr>
  </w:style>
  <w:style w:type="paragraph" w:styleId="a6">
    <w:name w:val="Balloon Text"/>
    <w:basedOn w:val="a"/>
    <w:link w:val="a7"/>
    <w:uiPriority w:val="99"/>
    <w:semiHidden/>
    <w:unhideWhenUsed/>
    <w:rsid w:val="00F17C36"/>
    <w:rPr>
      <w:rFonts w:ascii="Tahoma" w:hAnsi="Tahoma" w:cs="Tahoma"/>
      <w:sz w:val="16"/>
      <w:szCs w:val="16"/>
    </w:rPr>
  </w:style>
  <w:style w:type="character" w:customStyle="1" w:styleId="a7">
    <w:name w:val="Текст у виносці Знак"/>
    <w:basedOn w:val="a0"/>
    <w:link w:val="a6"/>
    <w:uiPriority w:val="99"/>
    <w:semiHidden/>
    <w:rsid w:val="00F17C36"/>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2152</Words>
  <Characters>1227</Characters>
  <Application>Microsoft Office Word</Application>
  <DocSecurity>0</DocSecurity>
  <Lines>10</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2026-07-15T14:37:00Z</dcterms:created>
  <dcterms:modified xsi:type="dcterms:W3CDTF">2026-07-15T14:37:00Z</dcterms:modified>
</cp:coreProperties>
</file>