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88" w:rsidRPr="001D77A1" w:rsidRDefault="003806A7">
      <w:pPr>
        <w:spacing w:before="300"/>
        <w:jc w:val="center"/>
      </w:pPr>
      <w:bookmarkStart w:id="0" w:name="_GoBack"/>
      <w:bookmarkEnd w:id="0"/>
      <w:r>
        <w:t>ЮРИДИЧН</w:t>
      </w:r>
      <w:r w:rsidR="00740ECF">
        <w:t>А</w:t>
      </w:r>
      <w:r>
        <w:t xml:space="preserve"> ОСОБ</w:t>
      </w:r>
      <w:r w:rsidR="00740ECF">
        <w:t>А</w:t>
      </w:r>
      <w:r>
        <w:t>,</w:t>
      </w:r>
      <w:r w:rsidR="005D43BB">
        <w:rPr>
          <w:lang w:val="en-US"/>
        </w:rPr>
        <w:t xml:space="preserve"> </w:t>
      </w:r>
      <w:r w:rsidR="001D77A1">
        <w:t xml:space="preserve"> </w:t>
      </w:r>
    </w:p>
    <w:p w:rsidR="00177888" w:rsidRDefault="003806A7">
      <w:pPr>
        <w:spacing w:after="300"/>
        <w:jc w:val="center"/>
      </w:pPr>
      <w:r>
        <w:t>до як</w:t>
      </w:r>
      <w:r w:rsidR="00740ECF">
        <w:t>ої</w:t>
      </w:r>
      <w:r>
        <w:t xml:space="preserve"> застосовуються персональні спеціальні економічні та інші обмежувальні заходи (санкції)</w:t>
      </w: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10"/>
        <w:gridCol w:w="5050"/>
        <w:gridCol w:w="8186"/>
        <w:gridCol w:w="1612"/>
      </w:tblGrid>
      <w:tr w:rsidR="00177888" w:rsidTr="001454BD">
        <w:trPr>
          <w:tblHeader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88" w:rsidRDefault="003806A7">
            <w:pPr>
              <w:jc w:val="center"/>
            </w:pPr>
            <w:r>
              <w:t>№</w:t>
            </w:r>
          </w:p>
          <w:p w:rsidR="00177888" w:rsidRDefault="003806A7">
            <w:pPr>
              <w:jc w:val="center"/>
            </w:pPr>
            <w:r>
              <w:t>з/п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88" w:rsidRDefault="003806A7">
            <w:pPr>
              <w:jc w:val="center"/>
            </w:pPr>
            <w:r>
              <w:t>Ідентифікаційні дані</w:t>
            </w:r>
          </w:p>
          <w:p w:rsidR="00177888" w:rsidRDefault="003806A7">
            <w:pPr>
              <w:jc w:val="center"/>
            </w:pPr>
            <w:r>
              <w:t>(повне найменування та реквізити юридичної особи)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88" w:rsidRDefault="003806A7">
            <w:pPr>
              <w:jc w:val="center"/>
            </w:pPr>
            <w:r>
              <w:t>Вид обмежувального заходу</w:t>
            </w:r>
          </w:p>
          <w:p w:rsidR="00177888" w:rsidRDefault="003806A7">
            <w:pPr>
              <w:jc w:val="center"/>
            </w:pPr>
            <w:r>
              <w:t>(відповідно до Закону України "Про санкції")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888" w:rsidRDefault="003806A7">
            <w:pPr>
              <w:jc w:val="center"/>
            </w:pPr>
            <w:r>
              <w:t>Строк застосування</w:t>
            </w:r>
          </w:p>
        </w:tc>
      </w:tr>
      <w:tr w:rsidR="00177888" w:rsidTr="001454BD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177888" w:rsidRDefault="003806A7"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77888" w:rsidRDefault="003806A7">
            <w:r>
              <w:t>Товариство з обмеженою відповідальністю "ТІБЕРІУС ПЛЮС" (Limited Liability Company "TIBERIUS PLIUS", Limited Liability Company "TIBERIUS PLUS").</w:t>
            </w:r>
          </w:p>
          <w:p w:rsidR="00177888" w:rsidRDefault="003806A7">
            <w:r>
              <w:t>Країна реєстрації: Україна.</w:t>
            </w:r>
          </w:p>
          <w:p w:rsidR="00177888" w:rsidRDefault="003806A7">
            <w:r>
              <w:t>Відомості згідно з Єдиним державним реєстром юридичних осіб, фізичних осіб – підприємців та громадських формувань України: 35917522.</w:t>
            </w:r>
          </w:p>
          <w:p w:rsidR="005C36B8" w:rsidRPr="008E4C9B" w:rsidRDefault="003806A7">
            <w:pPr>
              <w:rPr>
                <w:lang w:val="ru-RU"/>
              </w:rPr>
            </w:pPr>
            <w:r>
              <w:t xml:space="preserve">Місце розташування: Україна, 51700, Дніпропетровська обл., Кам'янський р-н, </w:t>
            </w:r>
          </w:p>
          <w:p w:rsidR="00177888" w:rsidRDefault="003806A7">
            <w:r>
              <w:t>м. Вільногірськ, вул. Молодіжна, буд. 48А/1.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177888" w:rsidRDefault="003806A7">
            <w:r>
              <w:t xml:space="preserve">1) блокування активів </w:t>
            </w:r>
            <w:r w:rsidR="001454BD">
              <w:t>–</w:t>
            </w:r>
            <w:r>
              <w:t xml:space="preserve"> тимчасове позбавлення права користуватися та розпоряджатися активами, що належать фізичній або юридичній особі, а також активами, щодо яких така особа може прямо чи опосередковано </w:t>
            </w:r>
            <w:r w:rsidR="003C53C6">
              <w:t xml:space="preserve">                </w:t>
            </w:r>
            <w:r>
              <w:t xml:space="preserve">(через інших фізичних або юридичних осіб) вчиняти дії, тотожні за змістом здійсненню права розпорядження ними; </w:t>
            </w:r>
          </w:p>
          <w:p w:rsidR="00177888" w:rsidRDefault="003806A7">
            <w:r>
              <w:t>2) припинення дії або зупинення ліцензій та інших дозволів, одержання (наявність) яких є умовою для здійснення певного виду діяльності, зокрема, припинення дії чи зупинення дії спеціальних дозволів на користування надрами.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6372F" w:rsidRDefault="003806A7">
            <w:pPr>
              <w:rPr>
                <w:lang w:val="en-US"/>
              </w:rPr>
            </w:pPr>
            <w:r>
              <w:t xml:space="preserve">десять років; </w:t>
            </w:r>
          </w:p>
          <w:p w:rsidR="008E4C9B" w:rsidRDefault="008E4C9B">
            <w:pPr>
              <w:rPr>
                <w:lang w:val="en-US"/>
              </w:rPr>
            </w:pPr>
          </w:p>
          <w:p w:rsidR="008E4C9B" w:rsidRDefault="008E4C9B">
            <w:pPr>
              <w:rPr>
                <w:lang w:val="en-US"/>
              </w:rPr>
            </w:pPr>
          </w:p>
          <w:p w:rsidR="008E4C9B" w:rsidRDefault="008E4C9B">
            <w:pPr>
              <w:rPr>
                <w:lang w:val="en-US"/>
              </w:rPr>
            </w:pPr>
          </w:p>
          <w:p w:rsidR="008E4C9B" w:rsidRPr="008E4C9B" w:rsidRDefault="008E4C9B">
            <w:pPr>
              <w:rPr>
                <w:lang w:val="en-US"/>
              </w:rPr>
            </w:pPr>
          </w:p>
          <w:p w:rsidR="00177888" w:rsidRDefault="003806A7">
            <w:r>
              <w:t>безстроково</w:t>
            </w:r>
          </w:p>
        </w:tc>
      </w:tr>
    </w:tbl>
    <w:p w:rsidR="003806A7" w:rsidRDefault="003806A7">
      <w:pPr>
        <w:rPr>
          <w:lang w:val="en-US"/>
        </w:rPr>
      </w:pPr>
    </w:p>
    <w:p w:rsidR="00C0769C" w:rsidRPr="00C0769C" w:rsidRDefault="00C0769C" w:rsidP="00C0769C">
      <w:pPr>
        <w:jc w:val="center"/>
        <w:rPr>
          <w:lang w:val="en-US"/>
        </w:rPr>
      </w:pPr>
      <w:r>
        <w:rPr>
          <w:lang w:val="en-US"/>
        </w:rPr>
        <w:t>_______________________________________________________________</w:t>
      </w:r>
    </w:p>
    <w:sectPr w:rsidR="00C0769C" w:rsidRPr="00C0769C">
      <w:headerReference w:type="default" r:id="rId7"/>
      <w:headerReference w:type="first" r:id="rId8"/>
      <w:pgSz w:w="16838" w:h="11906" w:orient="landscape"/>
      <w:pgMar w:top="992" w:right="850" w:bottom="850" w:left="85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EB" w:rsidRDefault="004A67EB">
      <w:r>
        <w:separator/>
      </w:r>
    </w:p>
  </w:endnote>
  <w:endnote w:type="continuationSeparator" w:id="0">
    <w:p w:rsidR="004A67EB" w:rsidRDefault="004A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EB" w:rsidRDefault="004A67EB">
      <w:r>
        <w:separator/>
      </w:r>
    </w:p>
  </w:footnote>
  <w:footnote w:type="continuationSeparator" w:id="0">
    <w:p w:rsidR="004A67EB" w:rsidRDefault="004A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FF" w:rsidRDefault="00161EFF">
    <w:pPr>
      <w:jc w:val="center"/>
    </w:pPr>
    <w:r>
      <w:fldChar w:fldCharType="begin"/>
    </w:r>
    <w:r>
      <w:instrText>PAGE</w:instrText>
    </w:r>
    <w:r>
      <w:fldChar w:fldCharType="end"/>
    </w:r>
  </w:p>
  <w:p w:rsidR="00161EFF" w:rsidRDefault="00161EFF">
    <w:pPr>
      <w:spacing w:after="240"/>
      <w:jc w:val="right"/>
    </w:pPr>
    <w:r>
      <w:t>продовження додатка 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EFF" w:rsidRDefault="00161EFF" w:rsidP="0076372F">
    <w:pPr>
      <w:ind w:left="11907"/>
    </w:pPr>
  </w:p>
  <w:p w:rsidR="00161EFF" w:rsidRDefault="00161EFF" w:rsidP="0076372F">
    <w:pPr>
      <w:ind w:left="11907"/>
    </w:pPr>
  </w:p>
  <w:p w:rsidR="00161EFF" w:rsidRPr="008D46DA" w:rsidRDefault="00161EFF" w:rsidP="00AA7163">
    <w:pPr>
      <w:ind w:left="9072"/>
      <w:jc w:val="center"/>
      <w:rPr>
        <w:lang w:val="ru-RU"/>
      </w:rPr>
    </w:pPr>
    <w:r>
      <w:t>Додаток</w:t>
    </w:r>
    <w:r w:rsidRPr="008D46DA">
      <w:rPr>
        <w:lang w:val="ru-RU"/>
      </w:rPr>
      <w:t xml:space="preserve"> 2</w:t>
    </w:r>
  </w:p>
  <w:p w:rsidR="00161EFF" w:rsidRDefault="00161EFF" w:rsidP="00AA7163">
    <w:pPr>
      <w:ind w:left="9072"/>
      <w:jc w:val="center"/>
    </w:pPr>
    <w:r>
      <w:t xml:space="preserve">до рішення Ради національної безпеки і оборони України від </w:t>
    </w:r>
    <w:r w:rsidR="001B3D2C">
      <w:t>28 січня</w:t>
    </w:r>
    <w:r>
      <w:rPr>
        <w:lang w:val="ru-RU"/>
      </w:rPr>
      <w:t xml:space="preserve"> 202</w:t>
    </w:r>
    <w:r w:rsidRPr="008D46DA">
      <w:rPr>
        <w:lang w:val="ru-RU"/>
      </w:rPr>
      <w:t>6</w:t>
    </w:r>
    <w:r>
      <w:t xml:space="preserve"> року "Про застосування персональних спеціальних економічних та інших обмежувальних заходів (санкцій)"</w:t>
    </w:r>
    <w:r w:rsidR="009E4D62">
      <w:t>, введеного в дію Указом Президента України</w:t>
    </w:r>
  </w:p>
  <w:p w:rsidR="009E4D62" w:rsidRDefault="009E4D62" w:rsidP="00AA7163">
    <w:pPr>
      <w:ind w:left="9072"/>
      <w:jc w:val="center"/>
    </w:pPr>
    <w:r>
      <w:t xml:space="preserve">від </w:t>
    </w:r>
    <w:r w:rsidR="00AA7163">
      <w:t>2 лютого 2026 року № 94/2026</w:t>
    </w:r>
  </w:p>
  <w:p w:rsidR="00161EFF" w:rsidRPr="0076372F" w:rsidRDefault="00161EFF" w:rsidP="0076372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C1920"/>
    <w:multiLevelType w:val="hybridMultilevel"/>
    <w:tmpl w:val="42AAC238"/>
    <w:lvl w:ilvl="0" w:tplc="9864ACE2">
      <w:start w:val="1"/>
      <w:numFmt w:val="bullet"/>
      <w:lvlText w:val="●"/>
      <w:lvlJc w:val="left"/>
      <w:pPr>
        <w:ind w:left="720" w:hanging="360"/>
      </w:pPr>
    </w:lvl>
    <w:lvl w:ilvl="1" w:tplc="CC44FB48">
      <w:start w:val="1"/>
      <w:numFmt w:val="bullet"/>
      <w:lvlText w:val="○"/>
      <w:lvlJc w:val="left"/>
      <w:pPr>
        <w:ind w:left="1440" w:hanging="360"/>
      </w:pPr>
    </w:lvl>
    <w:lvl w:ilvl="2" w:tplc="8B5CE57C">
      <w:start w:val="1"/>
      <w:numFmt w:val="bullet"/>
      <w:lvlText w:val="■"/>
      <w:lvlJc w:val="left"/>
      <w:pPr>
        <w:ind w:left="2160" w:hanging="360"/>
      </w:pPr>
    </w:lvl>
    <w:lvl w:ilvl="3" w:tplc="4BCA01C0">
      <w:start w:val="1"/>
      <w:numFmt w:val="bullet"/>
      <w:lvlText w:val="●"/>
      <w:lvlJc w:val="left"/>
      <w:pPr>
        <w:ind w:left="2880" w:hanging="360"/>
      </w:pPr>
    </w:lvl>
    <w:lvl w:ilvl="4" w:tplc="993639D8">
      <w:start w:val="1"/>
      <w:numFmt w:val="bullet"/>
      <w:lvlText w:val="○"/>
      <w:lvlJc w:val="left"/>
      <w:pPr>
        <w:ind w:left="3600" w:hanging="360"/>
      </w:pPr>
    </w:lvl>
    <w:lvl w:ilvl="5" w:tplc="9878A998">
      <w:start w:val="1"/>
      <w:numFmt w:val="bullet"/>
      <w:lvlText w:val="■"/>
      <w:lvlJc w:val="left"/>
      <w:pPr>
        <w:ind w:left="4320" w:hanging="360"/>
      </w:pPr>
    </w:lvl>
    <w:lvl w:ilvl="6" w:tplc="B69AC246">
      <w:start w:val="1"/>
      <w:numFmt w:val="bullet"/>
      <w:lvlText w:val="●"/>
      <w:lvlJc w:val="left"/>
      <w:pPr>
        <w:ind w:left="5040" w:hanging="360"/>
      </w:pPr>
    </w:lvl>
    <w:lvl w:ilvl="7" w:tplc="7DBE8490">
      <w:start w:val="1"/>
      <w:numFmt w:val="bullet"/>
      <w:lvlText w:val="●"/>
      <w:lvlJc w:val="left"/>
      <w:pPr>
        <w:ind w:left="5760" w:hanging="360"/>
      </w:pPr>
    </w:lvl>
    <w:lvl w:ilvl="8" w:tplc="EEB41F3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7888"/>
    <w:rsid w:val="00036E9A"/>
    <w:rsid w:val="001454BD"/>
    <w:rsid w:val="00161EFF"/>
    <w:rsid w:val="00177888"/>
    <w:rsid w:val="001B3D2C"/>
    <w:rsid w:val="001D77A1"/>
    <w:rsid w:val="002349D2"/>
    <w:rsid w:val="00291419"/>
    <w:rsid w:val="003806A7"/>
    <w:rsid w:val="003C53C6"/>
    <w:rsid w:val="004A67EB"/>
    <w:rsid w:val="004D6DD3"/>
    <w:rsid w:val="004F5525"/>
    <w:rsid w:val="005C36B8"/>
    <w:rsid w:val="005D43BB"/>
    <w:rsid w:val="00606F17"/>
    <w:rsid w:val="00657E39"/>
    <w:rsid w:val="00740ECF"/>
    <w:rsid w:val="0076372F"/>
    <w:rsid w:val="00872C4E"/>
    <w:rsid w:val="008D46DA"/>
    <w:rsid w:val="008E4C9B"/>
    <w:rsid w:val="009E4D62"/>
    <w:rsid w:val="00A92FD9"/>
    <w:rsid w:val="00AA7163"/>
    <w:rsid w:val="00C0769C"/>
    <w:rsid w:val="00F9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76372F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76372F"/>
  </w:style>
  <w:style w:type="paragraph" w:styleId="ab">
    <w:name w:val="footer"/>
    <w:basedOn w:val="a"/>
    <w:link w:val="ac"/>
    <w:uiPriority w:val="99"/>
    <w:unhideWhenUsed/>
    <w:rsid w:val="0076372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6372F"/>
  </w:style>
  <w:style w:type="paragraph" w:styleId="ad">
    <w:name w:val="Balloon Text"/>
    <w:basedOn w:val="a"/>
    <w:link w:val="ae"/>
    <w:uiPriority w:val="99"/>
    <w:semiHidden/>
    <w:unhideWhenUsed/>
    <w:rsid w:val="00161EFF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6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2026-01-23T10:53:00Z</dcterms:created>
  <dcterms:modified xsi:type="dcterms:W3CDTF">2026-02-02T15:54:00Z</dcterms:modified>
</cp:coreProperties>
</file>